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6C2A065" w:rsidR="00A209D6" w:rsidRPr="00B266B0" w:rsidRDefault="00A209D6" w:rsidP="2CF22AC5">
      <w:pPr>
        <w:pStyle w:val="Header"/>
        <w:tabs>
          <w:tab w:val="right" w:pos="9639"/>
        </w:tabs>
        <w:rPr>
          <w:i/>
          <w:iCs/>
          <w:noProof w:val="0"/>
          <w:sz w:val="24"/>
          <w:szCs w:val="24"/>
        </w:rPr>
      </w:pPr>
      <w:r w:rsidRPr="2CF22AC5">
        <w:rPr>
          <w:noProof w:val="0"/>
          <w:sz w:val="24"/>
          <w:szCs w:val="24"/>
        </w:rPr>
        <w:t>3GPP TSG-RAN WG2 Meeting #</w:t>
      </w:r>
      <w:r w:rsidR="00C34E45" w:rsidRPr="2CF22AC5">
        <w:rPr>
          <w:noProof w:val="0"/>
          <w:sz w:val="24"/>
          <w:szCs w:val="24"/>
        </w:rPr>
        <w:t>122</w:t>
      </w:r>
      <w:r>
        <w:tab/>
      </w:r>
      <w:r w:rsidRPr="2CF22AC5">
        <w:rPr>
          <w:noProof w:val="0"/>
          <w:sz w:val="24"/>
          <w:szCs w:val="24"/>
        </w:rPr>
        <w:t>R2-</w:t>
      </w:r>
      <w:r w:rsidR="00EA5A1C" w:rsidRPr="2CF22AC5">
        <w:rPr>
          <w:noProof w:val="0"/>
          <w:sz w:val="24"/>
          <w:szCs w:val="24"/>
        </w:rPr>
        <w:t>230</w:t>
      </w:r>
      <w:r w:rsidR="60EFC3F5" w:rsidRPr="2CF22AC5">
        <w:rPr>
          <w:noProof w:val="0"/>
          <w:sz w:val="24"/>
          <w:szCs w:val="24"/>
        </w:rPr>
        <w:t>5053</w:t>
      </w:r>
    </w:p>
    <w:p w14:paraId="11776FA6" w14:textId="65D7B875" w:rsidR="00A209D6" w:rsidRPr="00465587" w:rsidRDefault="00C34E45" w:rsidP="00A209D6">
      <w:pPr>
        <w:pStyle w:val="Header"/>
        <w:tabs>
          <w:tab w:val="right" w:pos="9639"/>
        </w:tabs>
        <w:rPr>
          <w:rFonts w:eastAsia="SimSun"/>
          <w:bCs/>
          <w:sz w:val="24"/>
          <w:szCs w:val="24"/>
          <w:lang w:eastAsia="zh-CN"/>
        </w:rPr>
      </w:pPr>
      <w:r w:rsidRPr="00F43286">
        <w:rPr>
          <w:rFonts w:eastAsia="SimSun"/>
          <w:bCs/>
          <w:sz w:val="24"/>
          <w:szCs w:val="24"/>
          <w:lang w:eastAsia="zh-CN"/>
        </w:rPr>
        <w:t>Incheon, South Korea, 22– 26 May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FF1822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4B28">
        <w:rPr>
          <w:rFonts w:cs="Arial"/>
          <w:b/>
          <w:bCs/>
          <w:sz w:val="24"/>
          <w:lang w:eastAsia="ja-JP"/>
        </w:rPr>
        <w:t>7</w:t>
      </w:r>
      <w:r>
        <w:rPr>
          <w:rFonts w:cs="Arial"/>
          <w:b/>
          <w:bCs/>
          <w:sz w:val="24"/>
          <w:lang w:eastAsia="ja-JP"/>
        </w:rPr>
        <w:t>.</w:t>
      </w:r>
      <w:r w:rsidR="003D4B28">
        <w:rPr>
          <w:rFonts w:cs="Arial"/>
          <w:b/>
          <w:bCs/>
          <w:sz w:val="24"/>
          <w:lang w:eastAsia="ja-JP"/>
        </w:rPr>
        <w:t>12</w:t>
      </w:r>
      <w:r>
        <w:rPr>
          <w:rFonts w:cs="Arial"/>
          <w:b/>
          <w:bCs/>
          <w:sz w:val="24"/>
          <w:lang w:eastAsia="ja-JP"/>
        </w:rPr>
        <w:t>.</w:t>
      </w:r>
      <w:r w:rsidR="003D4B28">
        <w:rPr>
          <w:rFonts w:cs="Arial"/>
          <w:b/>
          <w:bCs/>
          <w:sz w:val="24"/>
          <w:lang w:eastAsia="ja-JP"/>
        </w:rPr>
        <w:t>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9F53A0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C38CB" w:rsidRPr="008C38CB">
        <w:rPr>
          <w:rFonts w:ascii="Arial" w:hAnsi="Arial" w:cs="Arial"/>
          <w:b/>
          <w:bCs/>
          <w:sz w:val="24"/>
        </w:rPr>
        <w:t>Support for RACH-less HO and CHO in mobile IAB</w:t>
      </w:r>
    </w:p>
    <w:p w14:paraId="25F387E8" w14:textId="03F58E2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D4B28" w:rsidRPr="00541CA4">
        <w:rPr>
          <w:rFonts w:ascii="Arial" w:hAnsi="Arial" w:cs="Arial"/>
          <w:b/>
          <w:bCs/>
          <w:sz w:val="24"/>
        </w:rPr>
        <w:t>NR_mobile_IAB</w:t>
      </w:r>
      <w:proofErr w:type="spellEnd"/>
      <w:r w:rsidR="003D4B28" w:rsidRPr="00541CA4">
        <w:rPr>
          <w:rFonts w:ascii="Arial" w:hAnsi="Arial" w:cs="Arial"/>
          <w:b/>
          <w:bCs/>
          <w:sz w:val="24"/>
        </w:rPr>
        <w:t>-Core</w:t>
      </w:r>
      <w:r w:rsidR="003D4B28" w:rsidRPr="00112F1A">
        <w:rPr>
          <w:rFonts w:ascii="Arial" w:hAnsi="Arial" w:cs="Arial"/>
          <w:b/>
          <w:bCs/>
          <w:sz w:val="24"/>
        </w:rPr>
        <w:t xml:space="preserve"> </w:t>
      </w:r>
      <w:r w:rsidR="003D4B28">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C98DFC0" w:rsidR="00A209D6" w:rsidRPr="006E13D1" w:rsidRDefault="00A209D6" w:rsidP="00A209D6">
      <w:pPr>
        <w:pStyle w:val="Heading1"/>
      </w:pPr>
      <w:r w:rsidRPr="006E13D1">
        <w:t>1</w:t>
      </w:r>
      <w:r w:rsidRPr="006E13D1">
        <w:tab/>
      </w:r>
      <w:r>
        <w:t>Introduction</w:t>
      </w:r>
    </w:p>
    <w:p w14:paraId="71190389" w14:textId="4FCCAAFB" w:rsidR="003D4B28" w:rsidRDefault="00AE583E" w:rsidP="003D4B28">
      <w:r>
        <w:rPr>
          <w:noProof/>
        </w:rPr>
        <mc:AlternateContent>
          <mc:Choice Requires="wps">
            <w:drawing>
              <wp:anchor distT="45720" distB="45720" distL="114300" distR="114300" simplePos="0" relativeHeight="251659264" behindDoc="0" locked="0" layoutInCell="1" allowOverlap="1" wp14:anchorId="6FDCDD19" wp14:editId="63BCFA7E">
                <wp:simplePos x="0" y="0"/>
                <wp:positionH relativeFrom="margin">
                  <wp:align>right</wp:align>
                </wp:positionH>
                <wp:positionV relativeFrom="paragraph">
                  <wp:posOffset>213360</wp:posOffset>
                </wp:positionV>
                <wp:extent cx="5934075" cy="140462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27C94447" w14:textId="58379B93" w:rsidR="00787664" w:rsidRPr="00787664" w:rsidRDefault="00787664" w:rsidP="00787664">
                            <w:pPr>
                              <w:numPr>
                                <w:ilvl w:val="0"/>
                                <w:numId w:val="8"/>
                              </w:numPr>
                              <w:spacing w:before="60" w:after="0"/>
                              <w:textAlignment w:val="center"/>
                              <w:rPr>
                                <w:rFonts w:ascii="Arial" w:hAnsi="Arial" w:cs="Arial"/>
                                <w:b/>
                                <w:bCs/>
                              </w:rPr>
                            </w:pPr>
                            <w:r w:rsidRPr="00787664">
                              <w:rPr>
                                <w:rFonts w:ascii="Arial" w:hAnsi="Arial" w:cs="Arial"/>
                                <w:b/>
                                <w:bCs/>
                              </w:rPr>
                              <w:t xml:space="preserve">Feasibility of beam handling during RACH-less HO in the </w:t>
                            </w:r>
                            <w:proofErr w:type="spellStart"/>
                            <w:r w:rsidRPr="00787664">
                              <w:rPr>
                                <w:rFonts w:ascii="Arial" w:hAnsi="Arial" w:cs="Arial"/>
                                <w:b/>
                                <w:bCs/>
                              </w:rPr>
                              <w:t>mIAB</w:t>
                            </w:r>
                            <w:proofErr w:type="spellEnd"/>
                            <w:r w:rsidRPr="00787664">
                              <w:rPr>
                                <w:rFonts w:ascii="Arial" w:hAnsi="Arial" w:cs="Arial"/>
                                <w:b/>
                                <w:bCs/>
                              </w:rPr>
                              <w:t xml:space="preserve"> WI is FFS (and this need to be addressed for RACH-less to be supported for </w:t>
                            </w:r>
                            <w:proofErr w:type="spellStart"/>
                            <w:r w:rsidRPr="00787664">
                              <w:rPr>
                                <w:rFonts w:ascii="Arial" w:hAnsi="Arial" w:cs="Arial"/>
                                <w:b/>
                                <w:bCs/>
                              </w:rPr>
                              <w:t>mIAB</w:t>
                            </w:r>
                            <w:proofErr w:type="spellEnd"/>
                            <w:r w:rsidRPr="00787664">
                              <w:rPr>
                                <w:rFonts w:ascii="Arial" w:hAnsi="Arial" w:cs="Arial"/>
                                <w:b/>
                                <w:bCs/>
                              </w:rPr>
                              <w:t xml:space="preserve">). </w:t>
                            </w:r>
                          </w:p>
                          <w:p w14:paraId="6F4D1229" w14:textId="77777777" w:rsidR="00787664" w:rsidRDefault="00787664" w:rsidP="00787664">
                            <w:pPr>
                              <w:numPr>
                                <w:ilvl w:val="0"/>
                                <w:numId w:val="8"/>
                              </w:numPr>
                              <w:spacing w:before="60" w:after="0"/>
                              <w:textAlignment w:val="center"/>
                              <w:rPr>
                                <w:rFonts w:ascii="Arial" w:hAnsi="Arial" w:cs="Arial"/>
                                <w:b/>
                                <w:bCs/>
                              </w:rPr>
                            </w:pPr>
                            <w:r w:rsidRPr="00787664">
                              <w:rPr>
                                <w:rFonts w:ascii="Arial" w:hAnsi="Arial" w:cs="Arial"/>
                                <w:b/>
                                <w:bCs/>
                              </w:rPr>
                              <w:t>RAN2 discuss further the following options to support beam operation for the first UL transmission/DL reception towards the target logical DU in RACH-less HO during DU migration:</w:t>
                            </w:r>
                          </w:p>
                          <w:p w14:paraId="7ABE9BD6" w14:textId="77777777" w:rsidR="00787664" w:rsidRPr="00787664" w:rsidRDefault="00787664" w:rsidP="00787664">
                            <w:pPr>
                              <w:spacing w:before="60" w:after="0"/>
                              <w:ind w:left="360"/>
                              <w:textAlignment w:val="center"/>
                              <w:rPr>
                                <w:rFonts w:ascii="Arial" w:hAnsi="Arial" w:cs="Arial"/>
                                <w:b/>
                                <w:bCs/>
                              </w:rPr>
                            </w:pPr>
                            <w:r w:rsidRPr="00787664">
                              <w:rPr>
                                <w:rFonts w:ascii="Arial" w:hAnsi="Arial" w:cs="Arial"/>
                                <w:b/>
                                <w:bCs/>
                              </w:rPr>
                              <w:t xml:space="preserve">Option 1: (Explicit approach) Explicit beam information is included in HO command. FFS the details. </w:t>
                            </w:r>
                          </w:p>
                          <w:p w14:paraId="27BC57D2" w14:textId="77777777" w:rsidR="00787664" w:rsidRDefault="00787664" w:rsidP="00787664">
                            <w:pPr>
                              <w:spacing w:before="60" w:after="0"/>
                              <w:ind w:left="360"/>
                              <w:textAlignment w:val="center"/>
                              <w:rPr>
                                <w:rFonts w:ascii="Arial" w:hAnsi="Arial" w:cs="Arial"/>
                                <w:b/>
                                <w:bCs/>
                              </w:rPr>
                            </w:pPr>
                            <w:r w:rsidRPr="00787664">
                              <w:rPr>
                                <w:rFonts w:ascii="Arial" w:hAnsi="Arial" w:cs="Arial"/>
                                <w:b/>
                                <w:bCs/>
                              </w:rPr>
                              <w:t>Option 2: (Implicit approach) UE re-uses the same beam status as in the source cell (the beam information is not carried explicitly in HO command).</w:t>
                            </w:r>
                          </w:p>
                          <w:p w14:paraId="68969E0A" w14:textId="380AEDD8" w:rsidR="00787664" w:rsidRDefault="00787664" w:rsidP="00787664">
                            <w:pPr>
                              <w:numPr>
                                <w:ilvl w:val="0"/>
                                <w:numId w:val="8"/>
                              </w:numPr>
                              <w:spacing w:before="60" w:after="0"/>
                              <w:textAlignment w:val="center"/>
                            </w:pPr>
                            <w:r w:rsidRPr="00787664">
                              <w:rPr>
                                <w:rFonts w:ascii="Arial" w:hAnsi="Arial" w:cs="Arial"/>
                                <w:b/>
                                <w:bCs/>
                              </w:rPr>
                              <w:t xml:space="preserve">RACH-less HO with same TA with security key change is in scope for served UEs during </w:t>
                            </w:r>
                            <w:proofErr w:type="spellStart"/>
                            <w:r w:rsidRPr="00787664">
                              <w:rPr>
                                <w:rFonts w:ascii="Arial" w:hAnsi="Arial" w:cs="Arial"/>
                                <w:b/>
                                <w:bCs/>
                              </w:rPr>
                              <w:t>mIAB</w:t>
                            </w:r>
                            <w:proofErr w:type="spellEnd"/>
                            <w:r w:rsidRPr="00787664">
                              <w:rPr>
                                <w:rFonts w:ascii="Arial" w:hAnsi="Arial" w:cs="Arial"/>
                                <w:b/>
                                <w:bCs/>
                              </w:rPr>
                              <w:t xml:space="preserve"> DU migration. FFS UL grant and HO completion procedure in </w:t>
                            </w:r>
                            <w:proofErr w:type="spellStart"/>
                            <w:r w:rsidRPr="00787664">
                              <w:rPr>
                                <w:rFonts w:ascii="Arial" w:hAnsi="Arial" w:cs="Arial"/>
                                <w:b/>
                                <w:bCs/>
                              </w:rPr>
                              <w:t>mIAB</w:t>
                            </w:r>
                            <w:proofErr w:type="spellEnd"/>
                            <w:r w:rsidRPr="00787664">
                              <w:rPr>
                                <w:rFonts w:ascii="Arial" w:hAnsi="Arial" w:cs="Arial"/>
                                <w:b/>
                                <w:bCs/>
                              </w:rPr>
                              <w:t xml:space="preserve"> RACH-less HO</w:t>
                            </w:r>
                            <w:r>
                              <w:rPr>
                                <w:rFonts w:ascii="Arial" w:hAnsi="Arial" w:cs="Arial"/>
                                <w:b/>
                                <w:b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DCDD19" id="_x0000_t202" coordsize="21600,21600" o:spt="202" path="m,l,21600r21600,l21600,xe">
                <v:stroke joinstyle="miter"/>
                <v:path gradientshapeok="t" o:connecttype="rect"/>
              </v:shapetype>
              <v:shape id="Text Box 2" o:spid="_x0000_s1026" type="#_x0000_t202" style="position:absolute;margin-left:416.05pt;margin-top:16.8pt;width:467.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">
                <v:textbox style="mso-fit-shape-to-text:t">
                  <w:txbxContent>
                    <w:p w14:paraId="27C94447" w14:textId="58379B93" w:rsidR="00787664" w:rsidRPr="00787664" w:rsidRDefault="00787664" w:rsidP="00787664">
                      <w:pPr>
                        <w:numPr>
                          <w:ilvl w:val="0"/>
                          <w:numId w:val="8"/>
                        </w:numPr>
                        <w:spacing w:before="60" w:after="0"/>
                        <w:textAlignment w:val="center"/>
                        <w:rPr>
                          <w:rFonts w:ascii="Arial" w:hAnsi="Arial" w:cs="Arial"/>
                          <w:b/>
                          <w:bCs/>
                        </w:rPr>
                      </w:pPr>
                      <w:r w:rsidRPr="00787664">
                        <w:rPr>
                          <w:rFonts w:ascii="Arial" w:hAnsi="Arial" w:cs="Arial"/>
                          <w:b/>
                          <w:bCs/>
                        </w:rPr>
                        <w:t xml:space="preserve">Feasibility of beam handling during RACH-less HO in the </w:t>
                      </w:r>
                      <w:proofErr w:type="spellStart"/>
                      <w:r w:rsidRPr="00787664">
                        <w:rPr>
                          <w:rFonts w:ascii="Arial" w:hAnsi="Arial" w:cs="Arial"/>
                          <w:b/>
                          <w:bCs/>
                        </w:rPr>
                        <w:t>mIAB</w:t>
                      </w:r>
                      <w:proofErr w:type="spellEnd"/>
                      <w:r w:rsidRPr="00787664">
                        <w:rPr>
                          <w:rFonts w:ascii="Arial" w:hAnsi="Arial" w:cs="Arial"/>
                          <w:b/>
                          <w:bCs/>
                        </w:rPr>
                        <w:t xml:space="preserve"> WI is FFS (and this need to be addressed for RACH-less to be supported for </w:t>
                      </w:r>
                      <w:proofErr w:type="spellStart"/>
                      <w:r w:rsidRPr="00787664">
                        <w:rPr>
                          <w:rFonts w:ascii="Arial" w:hAnsi="Arial" w:cs="Arial"/>
                          <w:b/>
                          <w:bCs/>
                        </w:rPr>
                        <w:t>mIAB</w:t>
                      </w:r>
                      <w:proofErr w:type="spellEnd"/>
                      <w:r w:rsidRPr="00787664">
                        <w:rPr>
                          <w:rFonts w:ascii="Arial" w:hAnsi="Arial" w:cs="Arial"/>
                          <w:b/>
                          <w:bCs/>
                        </w:rPr>
                        <w:t xml:space="preserve">). </w:t>
                      </w:r>
                    </w:p>
                    <w:p w14:paraId="6F4D1229" w14:textId="77777777" w:rsidR="00787664" w:rsidRDefault="00787664" w:rsidP="00787664">
                      <w:pPr>
                        <w:numPr>
                          <w:ilvl w:val="0"/>
                          <w:numId w:val="8"/>
                        </w:numPr>
                        <w:spacing w:before="60" w:after="0"/>
                        <w:textAlignment w:val="center"/>
                        <w:rPr>
                          <w:rFonts w:ascii="Arial" w:hAnsi="Arial" w:cs="Arial"/>
                          <w:b/>
                          <w:bCs/>
                        </w:rPr>
                      </w:pPr>
                      <w:r w:rsidRPr="00787664">
                        <w:rPr>
                          <w:rFonts w:ascii="Arial" w:hAnsi="Arial" w:cs="Arial"/>
                          <w:b/>
                          <w:bCs/>
                        </w:rPr>
                        <w:t>RAN2 discuss further the following options to support beam operation for the first UL transmission/DL reception towards the target logical DU in RACH-less HO during DU migration:</w:t>
                      </w:r>
                    </w:p>
                    <w:p w14:paraId="7ABE9BD6" w14:textId="77777777" w:rsidR="00787664" w:rsidRPr="00787664" w:rsidRDefault="00787664" w:rsidP="00787664">
                      <w:pPr>
                        <w:spacing w:before="60" w:after="0"/>
                        <w:ind w:left="360"/>
                        <w:textAlignment w:val="center"/>
                        <w:rPr>
                          <w:rFonts w:ascii="Arial" w:hAnsi="Arial" w:cs="Arial"/>
                          <w:b/>
                          <w:bCs/>
                        </w:rPr>
                      </w:pPr>
                      <w:r w:rsidRPr="00787664">
                        <w:rPr>
                          <w:rFonts w:ascii="Arial" w:hAnsi="Arial" w:cs="Arial"/>
                          <w:b/>
                          <w:bCs/>
                        </w:rPr>
                        <w:t xml:space="preserve">Option 1: (Explicit approach) Explicit beam information is included in HO command. FFS the details. </w:t>
                      </w:r>
                    </w:p>
                    <w:p w14:paraId="27BC57D2" w14:textId="77777777" w:rsidR="00787664" w:rsidRDefault="00787664" w:rsidP="00787664">
                      <w:pPr>
                        <w:spacing w:before="60" w:after="0"/>
                        <w:ind w:left="360"/>
                        <w:textAlignment w:val="center"/>
                        <w:rPr>
                          <w:rFonts w:ascii="Arial" w:hAnsi="Arial" w:cs="Arial"/>
                          <w:b/>
                          <w:bCs/>
                        </w:rPr>
                      </w:pPr>
                      <w:r w:rsidRPr="00787664">
                        <w:rPr>
                          <w:rFonts w:ascii="Arial" w:hAnsi="Arial" w:cs="Arial"/>
                          <w:b/>
                          <w:bCs/>
                        </w:rPr>
                        <w:t>Option 2: (Implicit approach) UE re-uses the same beam status as in the source cell (the beam information is not carried explicitly in HO command).</w:t>
                      </w:r>
                    </w:p>
                    <w:p w14:paraId="68969E0A" w14:textId="380AEDD8" w:rsidR="00787664" w:rsidRDefault="00787664" w:rsidP="00787664">
                      <w:pPr>
                        <w:numPr>
                          <w:ilvl w:val="0"/>
                          <w:numId w:val="8"/>
                        </w:numPr>
                        <w:spacing w:before="60" w:after="0"/>
                        <w:textAlignment w:val="center"/>
                      </w:pPr>
                      <w:r w:rsidRPr="00787664">
                        <w:rPr>
                          <w:rFonts w:ascii="Arial" w:hAnsi="Arial" w:cs="Arial"/>
                          <w:b/>
                          <w:bCs/>
                        </w:rPr>
                        <w:t xml:space="preserve">RACH-less HO with same TA with security key change is in scope for served UEs during </w:t>
                      </w:r>
                      <w:proofErr w:type="spellStart"/>
                      <w:r w:rsidRPr="00787664">
                        <w:rPr>
                          <w:rFonts w:ascii="Arial" w:hAnsi="Arial" w:cs="Arial"/>
                          <w:b/>
                          <w:bCs/>
                        </w:rPr>
                        <w:t>mIAB</w:t>
                      </w:r>
                      <w:proofErr w:type="spellEnd"/>
                      <w:r w:rsidRPr="00787664">
                        <w:rPr>
                          <w:rFonts w:ascii="Arial" w:hAnsi="Arial" w:cs="Arial"/>
                          <w:b/>
                          <w:bCs/>
                        </w:rPr>
                        <w:t xml:space="preserve"> DU migration. FFS UL grant and HO completion procedure in </w:t>
                      </w:r>
                      <w:proofErr w:type="spellStart"/>
                      <w:r w:rsidRPr="00787664">
                        <w:rPr>
                          <w:rFonts w:ascii="Arial" w:hAnsi="Arial" w:cs="Arial"/>
                          <w:b/>
                          <w:bCs/>
                        </w:rPr>
                        <w:t>mIAB</w:t>
                      </w:r>
                      <w:proofErr w:type="spellEnd"/>
                      <w:r w:rsidRPr="00787664">
                        <w:rPr>
                          <w:rFonts w:ascii="Arial" w:hAnsi="Arial" w:cs="Arial"/>
                          <w:b/>
                          <w:bCs/>
                        </w:rPr>
                        <w:t xml:space="preserve"> RACH-less HO</w:t>
                      </w:r>
                      <w:r>
                        <w:rPr>
                          <w:rFonts w:ascii="Arial" w:hAnsi="Arial" w:cs="Arial"/>
                          <w:b/>
                          <w:bCs/>
                        </w:rPr>
                        <w:t>.</w:t>
                      </w:r>
                    </w:p>
                  </w:txbxContent>
                </v:textbox>
                <w10:wrap type="topAndBottom" anchorx="margin"/>
              </v:shape>
            </w:pict>
          </mc:Fallback>
        </mc:AlternateContent>
      </w:r>
      <w:r w:rsidR="00787664">
        <w:t>During</w:t>
      </w:r>
      <w:r w:rsidR="003D4B28">
        <w:t xml:space="preserve"> RAN2#12</w:t>
      </w:r>
      <w:r w:rsidR="00787664">
        <w:t>1bis</w:t>
      </w:r>
      <w:r w:rsidR="003D4B28">
        <w:t xml:space="preserve">, </w:t>
      </w:r>
      <w:r w:rsidR="00787664">
        <w:t>RACH-less handover for UEs on-board a mobile IAB was discussed:</w:t>
      </w:r>
    </w:p>
    <w:p w14:paraId="45835109" w14:textId="000EC199" w:rsidR="003D4B28" w:rsidRPr="00793017" w:rsidRDefault="00787664" w:rsidP="00793017">
      <w:r>
        <w:rPr>
          <w:noProof/>
        </w:rPr>
        <mc:AlternateContent>
          <mc:Choice Requires="wps">
            <w:drawing>
              <wp:anchor distT="45720" distB="45720" distL="114300" distR="114300" simplePos="0" relativeHeight="251661312" behindDoc="0" locked="0" layoutInCell="1" allowOverlap="1" wp14:anchorId="737C4EE0" wp14:editId="55F83F4C">
                <wp:simplePos x="0" y="0"/>
                <wp:positionH relativeFrom="margin">
                  <wp:align>right</wp:align>
                </wp:positionH>
                <wp:positionV relativeFrom="paragraph">
                  <wp:posOffset>2148840</wp:posOffset>
                </wp:positionV>
                <wp:extent cx="5943600" cy="1404620"/>
                <wp:effectExtent l="0" t="0" r="19050"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202C0910" w14:textId="32489F6E" w:rsidR="00787664" w:rsidRPr="00787664" w:rsidRDefault="00787664" w:rsidP="00787664">
                            <w:pPr>
                              <w:numPr>
                                <w:ilvl w:val="0"/>
                                <w:numId w:val="8"/>
                              </w:numPr>
                              <w:spacing w:before="60" w:after="0"/>
                              <w:textAlignment w:val="center"/>
                              <w:rPr>
                                <w:rFonts w:ascii="Arial" w:hAnsi="Arial" w:cs="Arial"/>
                                <w:b/>
                                <w:bCs/>
                              </w:rPr>
                            </w:pPr>
                            <w:r w:rsidRPr="00787664">
                              <w:rPr>
                                <w:rFonts w:ascii="Arial" w:hAnsi="Arial" w:cs="Arial"/>
                                <w:b/>
                                <w:bCs/>
                              </w:rPr>
                              <w:t xml:space="preserve">FFS: May support CHO with CondT1 if it is “for free”, </w:t>
                            </w:r>
                            <w:proofErr w:type="gramStart"/>
                            <w:r w:rsidRPr="00787664">
                              <w:rPr>
                                <w:rFonts w:ascii="Arial" w:hAnsi="Arial" w:cs="Arial"/>
                                <w:b/>
                                <w:bCs/>
                              </w:rPr>
                              <w:t>i.e.</w:t>
                            </w:r>
                            <w:proofErr w:type="gramEnd"/>
                            <w:r w:rsidRPr="00787664">
                              <w:rPr>
                                <w:rFonts w:ascii="Arial" w:hAnsi="Arial" w:cs="Arial"/>
                                <w:b/>
                                <w:bCs/>
                              </w:rPr>
                              <w:t xml:space="preserve"> if TS impact is just to slightly modify the description to make it also applicable to 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11383170">
              <v:shape id="_x0000_s1027" style="position:absolute;margin-left:416.8pt;margin-top:169.2pt;width:468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" w14:anchorId="737C4EE0">
                <v:textbox style="mso-fit-shape-to-text:t">
                  <w:txbxContent>
                    <w:p w:rsidRPr="00787664" w:rsidR="00787664" w:rsidP="00787664" w:rsidRDefault="00787664" w14:paraId="65DE55FF" w14:textId="32489F6E">
                      <w:pPr>
                        <w:numPr>
                          <w:ilvl w:val="0"/>
                          <w:numId w:val="8"/>
                        </w:numPr>
                        <w:spacing w:before="60" w:after="0"/>
                        <w:textAlignment w:val="center"/>
                        <w:rPr>
                          <w:rFonts w:ascii="Arial" w:hAnsi="Arial" w:cs="Arial"/>
                          <w:b/>
                          <w:bCs/>
                        </w:rPr>
                      </w:pPr>
                      <w:r w:rsidRPr="00787664">
                        <w:rPr>
                          <w:rFonts w:ascii="Arial" w:hAnsi="Arial" w:cs="Arial"/>
                          <w:b/>
                          <w:bCs/>
                        </w:rPr>
                        <w:t xml:space="preserve">FFS: May support CHO with CondT1 if it is “for free”, </w:t>
                      </w:r>
                      <w:proofErr w:type="gramStart"/>
                      <w:r w:rsidRPr="00787664">
                        <w:rPr>
                          <w:rFonts w:ascii="Arial" w:hAnsi="Arial" w:cs="Arial"/>
                          <w:b/>
                          <w:bCs/>
                        </w:rPr>
                        <w:t>i.e.</w:t>
                      </w:r>
                      <w:proofErr w:type="gramEnd"/>
                      <w:r w:rsidRPr="00787664">
                        <w:rPr>
                          <w:rFonts w:ascii="Arial" w:hAnsi="Arial" w:cs="Arial"/>
                          <w:b/>
                          <w:bCs/>
                        </w:rPr>
                        <w:t xml:space="preserve"> if TS impact is just to slightly modify the description to make it also applicable to TN.</w:t>
                      </w:r>
                    </w:p>
                  </w:txbxContent>
                </v:textbox>
                <w10:wrap type="topAndBottom" anchorx="margin"/>
              </v:shape>
            </w:pict>
          </mc:Fallback>
        </mc:AlternateContent>
      </w:r>
      <w:r w:rsidR="003D4B28" w:rsidRPr="00577C27">
        <w:t xml:space="preserve">RAN2 also discussed </w:t>
      </w:r>
      <w:r>
        <w:t>whether the timer-based CHO (currently defined for NTN) could be adopted for on-board UEs</w:t>
      </w:r>
      <w:r w:rsidR="003D4B28">
        <w:t>:</w:t>
      </w:r>
    </w:p>
    <w:p w14:paraId="59C893D2" w14:textId="7A3CCDD0" w:rsidR="003D4B28" w:rsidRDefault="003D4B28" w:rsidP="003D4B28">
      <w:r>
        <w:t>In this contribution we further discuss the</w:t>
      </w:r>
      <w:r w:rsidR="00793017">
        <w:t>se</w:t>
      </w:r>
      <w:r>
        <w:t xml:space="preserve"> issues related to </w:t>
      </w:r>
      <w:r w:rsidR="00793017">
        <w:t>connected mode mobility of UEs</w:t>
      </w:r>
      <w:r>
        <w:t>.</w:t>
      </w:r>
    </w:p>
    <w:p w14:paraId="7D484B6E" w14:textId="135E7D50" w:rsidR="009339CB" w:rsidRPr="006E13D1" w:rsidRDefault="009339CB" w:rsidP="009339CB">
      <w:pPr>
        <w:pStyle w:val="Heading1"/>
      </w:pPr>
      <w:r w:rsidRPr="006E13D1">
        <w:t>2</w:t>
      </w:r>
      <w:r w:rsidRPr="006E13D1">
        <w:tab/>
      </w:r>
      <w:r w:rsidR="003D4B28">
        <w:t>Discussion</w:t>
      </w:r>
    </w:p>
    <w:p w14:paraId="107A5FC1" w14:textId="77777777" w:rsidR="00793017" w:rsidRPr="006E13D1" w:rsidRDefault="009339CB" w:rsidP="00793017">
      <w:pPr>
        <w:pStyle w:val="Heading2"/>
      </w:pPr>
      <w:r>
        <w:t>2</w:t>
      </w:r>
      <w:r w:rsidRPr="006E13D1">
        <w:t>.1</w:t>
      </w:r>
      <w:r w:rsidRPr="006E13D1">
        <w:tab/>
      </w:r>
      <w:r w:rsidR="00793017">
        <w:t>RACH-less handover of on-board UEs</w:t>
      </w:r>
    </w:p>
    <w:p w14:paraId="17BCBA74" w14:textId="77777777" w:rsidR="000455FD" w:rsidRDefault="00C45C0C" w:rsidP="00C45C0C">
      <w:r>
        <w:t xml:space="preserve">Based on the agreements from RAN2#121bis, one of the key issues to be addressed for RAN2 to continue working on a </w:t>
      </w:r>
      <w:proofErr w:type="spellStart"/>
      <w:r>
        <w:t>mIAB</w:t>
      </w:r>
      <w:proofErr w:type="spellEnd"/>
      <w:r>
        <w:t>-specific RACH-less HO solution is related to the beam handling</w:t>
      </w:r>
      <w:r w:rsidR="000455FD">
        <w:t>.</w:t>
      </w:r>
    </w:p>
    <w:p w14:paraId="2F68434F" w14:textId="3C954D2B" w:rsidR="00C45C0C" w:rsidRDefault="000455FD" w:rsidP="00C45C0C">
      <w:pPr>
        <w:rPr>
          <w:rFonts w:eastAsia="MS PGothic" w:cs="Arial"/>
          <w:szCs w:val="18"/>
        </w:rPr>
      </w:pPr>
      <w:r>
        <w:t xml:space="preserve">To make progress on this issue, some companies proposed that RAN2 could focus on scenarios where </w:t>
      </w:r>
      <w:r w:rsidR="00C45C0C">
        <w:t xml:space="preserve">the same beam </w:t>
      </w:r>
      <w:r w:rsidR="0062444B">
        <w:t>configuration can be used for</w:t>
      </w:r>
      <w:r w:rsidR="00C45C0C">
        <w:t xml:space="preserve"> the source and target logical DU. </w:t>
      </w:r>
      <w:r>
        <w:t xml:space="preserve">In our view, usage of the same beam for source and target DUs is relevant to the case where the logical DUs are using the same physical cell resources; however, RAN2 previously agreed not to focus on this scenario in </w:t>
      </w:r>
      <w:r w:rsidR="00C45C0C">
        <w:rPr>
          <w:rFonts w:eastAsia="MS PGothic" w:cs="Arial"/>
          <w:szCs w:val="18"/>
        </w:rPr>
        <w:t>RAN2#119bis (</w:t>
      </w:r>
      <w:hyperlink r:id="rId13" w:history="1">
        <w:r w:rsidR="00C45C0C" w:rsidRPr="00811098">
          <w:rPr>
            <w:rStyle w:val="Hyperlink"/>
            <w:rFonts w:eastAsia="MS PGothic" w:cs="Arial"/>
            <w:szCs w:val="18"/>
          </w:rPr>
          <w:t>R2-2211101</w:t>
        </w:r>
      </w:hyperlink>
      <w:r w:rsidR="00C45C0C">
        <w:rPr>
          <w:rFonts w:eastAsia="MS PGothic" w:cs="Arial"/>
          <w:szCs w:val="18"/>
        </w:rPr>
        <w:t>):</w:t>
      </w:r>
    </w:p>
    <w:p w14:paraId="4DEB0524" w14:textId="77777777" w:rsidR="00C45C0C" w:rsidRPr="00341B7C" w:rsidRDefault="00C45C0C" w:rsidP="00C45C0C">
      <w:pPr>
        <w:pStyle w:val="Agreement"/>
        <w:pBdr>
          <w:top w:val="single" w:sz="4" w:space="1" w:color="auto"/>
          <w:left w:val="single" w:sz="4" w:space="4" w:color="auto"/>
          <w:bottom w:val="single" w:sz="4" w:space="1" w:color="auto"/>
          <w:right w:val="single" w:sz="4" w:space="4" w:color="auto"/>
        </w:pBdr>
        <w:spacing w:before="0" w:after="180"/>
        <w:ind w:left="357" w:hanging="357"/>
      </w:pPr>
      <w:r w:rsidRPr="00341B7C">
        <w:t xml:space="preserve">RAN2 focuses on the scenario where, during full migration, the UE sees the </w:t>
      </w:r>
      <w:r w:rsidRPr="00341B7C">
        <w:rPr>
          <w:rFonts w:cstheme="minorHAnsi"/>
        </w:rPr>
        <w:t>two logical DU cells as different physical cells (</w:t>
      </w:r>
      <w:proofErr w:type="gramStart"/>
      <w:r w:rsidRPr="00341B7C">
        <w:rPr>
          <w:rFonts w:cstheme="minorHAnsi"/>
        </w:rPr>
        <w:t>e.g.</w:t>
      </w:r>
      <w:proofErr w:type="gramEnd"/>
      <w:r w:rsidRPr="00341B7C">
        <w:rPr>
          <w:rFonts w:cstheme="minorHAnsi"/>
        </w:rPr>
        <w:t xml:space="preserve"> with different PCI if same carrier), and where the two logical DU cells use separate physical resources (i.e., different carriers, or orthogonal time and frequency resources of the same carrier, as supported by legacy L1).</w:t>
      </w:r>
    </w:p>
    <w:p w14:paraId="41B828CF" w14:textId="00FF9876" w:rsidR="00793017" w:rsidRDefault="0062444B" w:rsidP="00C45C0C">
      <w:r>
        <w:t>For the case where</w:t>
      </w:r>
      <w:r w:rsidR="000455FD">
        <w:t xml:space="preserve"> the source and target cell use different physical cell resources</w:t>
      </w:r>
      <w:r>
        <w:t xml:space="preserve">, </w:t>
      </w:r>
      <w:proofErr w:type="gramStart"/>
      <w:r>
        <w:t>e.g.</w:t>
      </w:r>
      <w:proofErr w:type="gramEnd"/>
      <w:r>
        <w:t xml:space="preserve"> different carrier or BWP</w:t>
      </w:r>
      <w:r w:rsidR="000455FD">
        <w:t xml:space="preserve">, </w:t>
      </w:r>
      <w:r>
        <w:t>the same beam configuration cannot be assumed in general.</w:t>
      </w:r>
      <w:r w:rsidR="0017261C">
        <w:t xml:space="preserve"> Therefore, if RAN2 works on RACH-less HO </w:t>
      </w:r>
      <w:r w:rsidR="000315CB">
        <w:t xml:space="preserve">for mobile IAB </w:t>
      </w:r>
      <w:r w:rsidR="0017261C">
        <w:t>we will need to consider the case where the beam configuration</w:t>
      </w:r>
      <w:r w:rsidR="00015579">
        <w:t>s are</w:t>
      </w:r>
      <w:r w:rsidR="0017261C">
        <w:t xml:space="preserve"> different.</w:t>
      </w:r>
    </w:p>
    <w:p w14:paraId="0EEEEB63" w14:textId="3D208BC7" w:rsidR="0062444B" w:rsidRDefault="0062444B" w:rsidP="00C45C0C">
      <w:r w:rsidRPr="0062444B">
        <w:rPr>
          <w:b/>
          <w:bCs/>
        </w:rPr>
        <w:lastRenderedPageBreak/>
        <w:t xml:space="preserve">Observation </w:t>
      </w:r>
      <w:r w:rsidR="005D6847">
        <w:rPr>
          <w:b/>
          <w:bCs/>
        </w:rPr>
        <w:t>1</w:t>
      </w:r>
      <w:r w:rsidRPr="006B136F">
        <w:t>:</w:t>
      </w:r>
      <w:r>
        <w:t xml:space="preserve"> </w:t>
      </w:r>
      <w:r w:rsidR="006B136F">
        <w:t>In general, t</w:t>
      </w:r>
      <w:r>
        <w:t xml:space="preserve">he same beam configuration cannot be assumed </w:t>
      </w:r>
      <w:r w:rsidR="006B136F">
        <w:t xml:space="preserve">at source and target logical DUs when </w:t>
      </w:r>
      <w:r>
        <w:t>the DUs use different physical cell resources.</w:t>
      </w:r>
      <w:r w:rsidR="005D6847">
        <w:t xml:space="preserve"> </w:t>
      </w:r>
      <w:r w:rsidR="006B136F">
        <w:t>I</w:t>
      </w:r>
      <w:r>
        <w:t xml:space="preserve">f RAN2 is to </w:t>
      </w:r>
      <w:r w:rsidR="006B136F">
        <w:t xml:space="preserve">specify a RACH-less handover solution specific to </w:t>
      </w:r>
      <w:proofErr w:type="spellStart"/>
      <w:r w:rsidR="006B136F">
        <w:t>mIAB</w:t>
      </w:r>
      <w:proofErr w:type="spellEnd"/>
      <w:r w:rsidR="006B136F">
        <w:t>, the case where different beam configurations exist between source and target logical DUs will need to be considered.</w:t>
      </w:r>
    </w:p>
    <w:p w14:paraId="09486E6A" w14:textId="2981F31C" w:rsidR="006B136F" w:rsidRDefault="006B136F" w:rsidP="00C45C0C">
      <w:r>
        <w:t>Focusing on the scenario with different beam configurations increases the complexity and specification effort</w:t>
      </w:r>
      <w:r w:rsidR="006316A3">
        <w:t>. For example,</w:t>
      </w:r>
      <w:r>
        <w:t xml:space="preserve"> </w:t>
      </w:r>
      <w:r w:rsidR="004B2596">
        <w:t xml:space="preserve">it will need to be agreed how </w:t>
      </w:r>
      <w:r>
        <w:t xml:space="preserve">the beam information for the target DU </w:t>
      </w:r>
      <w:r w:rsidR="004B2596">
        <w:t xml:space="preserve">is determined </w:t>
      </w:r>
      <w:r w:rsidR="005D6847">
        <w:t xml:space="preserve">prior to handover and </w:t>
      </w:r>
      <w:r w:rsidR="004B2596">
        <w:t>how the beam-related</w:t>
      </w:r>
      <w:r w:rsidR="005D6847">
        <w:t xml:space="preserve"> information </w:t>
      </w:r>
      <w:r w:rsidR="004B2596">
        <w:t>is shared between</w:t>
      </w:r>
      <w:r w:rsidR="005D6847">
        <w:t xml:space="preserve"> target and source donor-CUs. We also suspect that RAN1’s input will be necessary, but RAN1 does not have any TU allocation for the Rel-18 IAB WI.</w:t>
      </w:r>
    </w:p>
    <w:p w14:paraId="60D9CC69" w14:textId="7298A2DE" w:rsidR="005D6847" w:rsidRDefault="005D6847" w:rsidP="00C45C0C">
      <w:r>
        <w:t xml:space="preserve">Considering this complexity, we view RACH-less HO as an optimization rather than a feature to be prioritized for mobile IAB. Indeed, compared to the overall effort required to specify a </w:t>
      </w:r>
      <w:proofErr w:type="spellStart"/>
      <w:r>
        <w:t>mIAB</w:t>
      </w:r>
      <w:proofErr w:type="spellEnd"/>
      <w:r>
        <w:t xml:space="preserve">-specific RACH-less HO solution, the relative benefit could be quite small in terms of signalling offload: </w:t>
      </w:r>
    </w:p>
    <w:p w14:paraId="64AD207F" w14:textId="7FF2E18E" w:rsidR="005D6847" w:rsidRDefault="005D6847" w:rsidP="00C31914">
      <w:pPr>
        <w:ind w:left="568" w:hanging="288"/>
        <w:rPr>
          <w:rFonts w:cstheme="minorHAnsi"/>
          <w:lang w:eastAsia="zh-CN"/>
        </w:rPr>
      </w:pPr>
      <w:r>
        <w:t>-</w:t>
      </w:r>
      <w:r>
        <w:tab/>
      </w:r>
      <w:proofErr w:type="spellStart"/>
      <w:r w:rsidR="00C31914">
        <w:rPr>
          <w:rFonts w:cstheme="minorHAnsi"/>
          <w:lang w:eastAsia="zh-CN"/>
        </w:rPr>
        <w:t>mIAB</w:t>
      </w:r>
      <w:proofErr w:type="spellEnd"/>
      <w:r w:rsidR="00C31914">
        <w:rPr>
          <w:rFonts w:cstheme="minorHAnsi"/>
          <w:lang w:eastAsia="zh-CN"/>
        </w:rPr>
        <w:t>-specific RACH-less HO would only apply to on board Rel-18 UEs in RRC_CONNECTED, which could be a relatively small number of users.</w:t>
      </w:r>
    </w:p>
    <w:p w14:paraId="23C3FECC" w14:textId="49FBEC38" w:rsidR="00C31914" w:rsidRDefault="00C31914" w:rsidP="00C31914">
      <w:pPr>
        <w:ind w:left="568" w:hanging="288"/>
      </w:pPr>
      <w:r>
        <w:rPr>
          <w:rFonts w:cstheme="minorHAnsi"/>
          <w:lang w:eastAsia="zh-CN"/>
        </w:rPr>
        <w:t>-</w:t>
      </w:r>
      <w:r>
        <w:rPr>
          <w:rFonts w:cstheme="minorHAnsi"/>
          <w:lang w:eastAsia="zh-CN"/>
        </w:rPr>
        <w:tab/>
        <w:t>Signalling storms can already be mitigated without new</w:t>
      </w:r>
      <w:r w:rsidR="0051293A">
        <w:rPr>
          <w:rFonts w:cstheme="minorHAnsi"/>
          <w:lang w:eastAsia="zh-CN"/>
        </w:rPr>
        <w:t xml:space="preserve"> </w:t>
      </w:r>
      <w:r>
        <w:rPr>
          <w:rFonts w:cstheme="minorHAnsi"/>
          <w:lang w:eastAsia="zh-CN"/>
        </w:rPr>
        <w:t>enhancements</w:t>
      </w:r>
      <w:r w:rsidR="0051293A">
        <w:rPr>
          <w:rFonts w:cstheme="minorHAnsi"/>
          <w:lang w:eastAsia="zh-CN"/>
        </w:rPr>
        <w:t xml:space="preserve"> in RAN2</w:t>
      </w:r>
      <w:r>
        <w:rPr>
          <w:rFonts w:cstheme="minorHAnsi"/>
          <w:lang w:eastAsia="zh-CN"/>
        </w:rPr>
        <w:t>, as argued by several companies at RAN2#121bis [1],[2],[3], so RACH resources are unlikely to be very constrained anyway.</w:t>
      </w:r>
    </w:p>
    <w:p w14:paraId="2C0EAC40" w14:textId="53BD7A2E" w:rsidR="0051293A" w:rsidRPr="004B2596" w:rsidRDefault="0051293A" w:rsidP="004B2596">
      <w:pPr>
        <w:rPr>
          <w:rFonts w:cstheme="minorHAnsi"/>
          <w:b/>
          <w:bCs/>
          <w:lang w:eastAsia="zh-CN"/>
        </w:rPr>
      </w:pPr>
      <w:r w:rsidRPr="0051293A">
        <w:rPr>
          <w:rFonts w:cstheme="minorHAnsi"/>
          <w:b/>
          <w:bCs/>
          <w:lang w:eastAsia="zh-CN"/>
        </w:rPr>
        <w:t>Observation 2</w:t>
      </w:r>
      <w:r>
        <w:rPr>
          <w:rFonts w:cstheme="minorHAnsi"/>
          <w:lang w:eastAsia="zh-CN"/>
        </w:rPr>
        <w:t xml:space="preserve">: Specifying a </w:t>
      </w:r>
      <w:proofErr w:type="spellStart"/>
      <w:r>
        <w:rPr>
          <w:rFonts w:cstheme="minorHAnsi"/>
          <w:lang w:eastAsia="zh-CN"/>
        </w:rPr>
        <w:t>mIAB</w:t>
      </w:r>
      <w:proofErr w:type="spellEnd"/>
      <w:r>
        <w:rPr>
          <w:rFonts w:cstheme="minorHAnsi"/>
          <w:lang w:eastAsia="zh-CN"/>
        </w:rPr>
        <w:t>-specific RACH-less HO solution will be quite complex, while the relative benefits</w:t>
      </w:r>
      <w:r w:rsidRPr="004B2596">
        <w:rPr>
          <w:rFonts w:cstheme="minorHAnsi"/>
          <w:lang w:eastAsia="zh-CN"/>
        </w:rPr>
        <w:t xml:space="preserve"> gained are low.</w:t>
      </w:r>
    </w:p>
    <w:p w14:paraId="0AD8AFF4" w14:textId="2FADC383" w:rsidR="00724198" w:rsidRDefault="004B2596" w:rsidP="004B2596">
      <w:pPr>
        <w:rPr>
          <w:rFonts w:cstheme="minorHAnsi"/>
          <w:lang w:eastAsia="zh-CN"/>
        </w:rPr>
      </w:pPr>
      <w:r>
        <w:rPr>
          <w:rFonts w:cstheme="minorHAnsi"/>
          <w:lang w:eastAsia="zh-CN"/>
        </w:rPr>
        <w:t xml:space="preserve">We also note that </w:t>
      </w:r>
      <w:r w:rsidR="00F5488F">
        <w:rPr>
          <w:rFonts w:cstheme="minorHAnsi"/>
          <w:lang w:eastAsia="zh-CN"/>
        </w:rPr>
        <w:t xml:space="preserve">RAN2 is already discussing RACH-less HO enhancements under the Rel-18 Mobility Enhancements and Rel-18 NTN </w:t>
      </w:r>
      <w:proofErr w:type="spellStart"/>
      <w:r w:rsidR="00F5488F">
        <w:rPr>
          <w:rFonts w:cstheme="minorHAnsi"/>
          <w:lang w:eastAsia="zh-CN"/>
        </w:rPr>
        <w:t>WIs.</w:t>
      </w:r>
      <w:proofErr w:type="spellEnd"/>
      <w:r w:rsidR="00F5488F">
        <w:rPr>
          <w:rFonts w:cstheme="minorHAnsi"/>
          <w:lang w:eastAsia="zh-CN"/>
        </w:rPr>
        <w:t xml:space="preserve"> Some companies commented at RAN2#121bis that Rel-18 </w:t>
      </w:r>
      <w:proofErr w:type="spellStart"/>
      <w:r w:rsidR="00F5488F">
        <w:rPr>
          <w:rFonts w:cstheme="minorHAnsi"/>
          <w:lang w:eastAsia="zh-CN"/>
        </w:rPr>
        <w:t>MobEnh</w:t>
      </w:r>
      <w:proofErr w:type="spellEnd"/>
      <w:r w:rsidR="00F5488F">
        <w:rPr>
          <w:rFonts w:cstheme="minorHAnsi"/>
          <w:lang w:eastAsia="zh-CN"/>
        </w:rPr>
        <w:t xml:space="preserve"> is only considering the intra-CU scenario. </w:t>
      </w:r>
      <w:r w:rsidR="00AE583E">
        <w:rPr>
          <w:rFonts w:cstheme="minorHAnsi"/>
          <w:lang w:eastAsia="zh-CN"/>
        </w:rPr>
        <w:t>However</w:t>
      </w:r>
      <w:r w:rsidR="00F5488F">
        <w:rPr>
          <w:rFonts w:cstheme="minorHAnsi"/>
          <w:lang w:eastAsia="zh-CN"/>
        </w:rPr>
        <w:t>, Rel-18 NTN is considering the case of inter-</w:t>
      </w:r>
      <w:proofErr w:type="spellStart"/>
      <w:r w:rsidR="00F5488F">
        <w:rPr>
          <w:rFonts w:cstheme="minorHAnsi"/>
          <w:lang w:eastAsia="zh-CN"/>
        </w:rPr>
        <w:t>gNB</w:t>
      </w:r>
      <w:proofErr w:type="spellEnd"/>
      <w:r w:rsidR="00F5488F">
        <w:rPr>
          <w:rFonts w:cstheme="minorHAnsi"/>
          <w:lang w:eastAsia="zh-CN"/>
        </w:rPr>
        <w:t xml:space="preserve"> RACH-less HOs</w:t>
      </w:r>
      <w:r w:rsidR="007038C4">
        <w:rPr>
          <w:rFonts w:cstheme="minorHAnsi"/>
          <w:lang w:eastAsia="zh-CN"/>
        </w:rPr>
        <w:t>, based on agreements reached in RAN2#121bis</w:t>
      </w:r>
      <w:r w:rsidR="00F5488F">
        <w:rPr>
          <w:rFonts w:cstheme="minorHAnsi"/>
          <w:lang w:eastAsia="zh-CN"/>
        </w:rPr>
        <w:t>. Indeed, many of the agreements/assumptions</w:t>
      </w:r>
      <w:r w:rsidR="004F54BE">
        <w:rPr>
          <w:rFonts w:cstheme="minorHAnsi"/>
          <w:lang w:eastAsia="zh-CN"/>
        </w:rPr>
        <w:t>/FFS</w:t>
      </w:r>
      <w:r w:rsidR="00F5488F">
        <w:rPr>
          <w:rFonts w:cstheme="minorHAnsi"/>
          <w:lang w:eastAsia="zh-CN"/>
        </w:rPr>
        <w:t xml:space="preserve"> made for RACH-less HO in Rel-18 NTN could be relevant for mobile IAB</w:t>
      </w:r>
      <w:r w:rsidR="004F54BE">
        <w:rPr>
          <w:rFonts w:cstheme="minorHAnsi"/>
          <w:lang w:eastAsia="zh-CN"/>
        </w:rPr>
        <w:t xml:space="preserve">. </w:t>
      </w:r>
      <w:r w:rsidR="00F5488F">
        <w:rPr>
          <w:rFonts w:cstheme="minorHAnsi"/>
          <w:lang w:eastAsia="zh-CN"/>
        </w:rPr>
        <w:t>From the RAN2#121bis end of meeting report (</w:t>
      </w:r>
      <w:hyperlink r:id="rId14" w:history="1">
        <w:r w:rsidR="00F5488F" w:rsidRPr="00AE583E">
          <w:rPr>
            <w:rStyle w:val="Hyperlink"/>
            <w:rFonts w:cstheme="minorHAnsi"/>
            <w:lang w:eastAsia="zh-CN"/>
          </w:rPr>
          <w:t>R2-2304</w:t>
        </w:r>
        <w:r w:rsidR="00F5488F" w:rsidRPr="00AE583E">
          <w:rPr>
            <w:rStyle w:val="Hyperlink"/>
            <w:rFonts w:cstheme="minorHAnsi"/>
            <w:lang w:eastAsia="zh-CN"/>
          </w:rPr>
          <w:t>6</w:t>
        </w:r>
        <w:r w:rsidR="00F5488F" w:rsidRPr="00AE583E">
          <w:rPr>
            <w:rStyle w:val="Hyperlink"/>
            <w:rFonts w:cstheme="minorHAnsi"/>
            <w:lang w:eastAsia="zh-CN"/>
          </w:rPr>
          <w:t>01</w:t>
        </w:r>
      </w:hyperlink>
      <w:r w:rsidR="00F5488F">
        <w:rPr>
          <w:rFonts w:cstheme="minorHAnsi"/>
          <w:lang w:eastAsia="zh-CN"/>
        </w:rPr>
        <w:t>):</w:t>
      </w:r>
    </w:p>
    <w:p w14:paraId="48794665" w14:textId="77777777" w:rsidR="004F54BE" w:rsidRDefault="004F54BE" w:rsidP="00A935F2">
      <w:pPr>
        <w:pStyle w:val="Doc-text2"/>
        <w:numPr>
          <w:ilvl w:val="0"/>
          <w:numId w:val="11"/>
        </w:numPr>
        <w:pBdr>
          <w:top w:val="single" w:sz="4" w:space="1" w:color="auto"/>
          <w:left w:val="single" w:sz="4" w:space="4" w:color="auto"/>
          <w:bottom w:val="single" w:sz="4" w:space="1" w:color="auto"/>
          <w:right w:val="single" w:sz="4" w:space="4" w:color="auto"/>
        </w:pBdr>
        <w:autoSpaceDN w:val="0"/>
        <w:ind w:left="644"/>
      </w:pPr>
      <w:r>
        <w:t>NTN RACH-less HO is supported for Intra-satellite handover with the same feeder link. i.e., with same gateway/</w:t>
      </w:r>
      <w:proofErr w:type="spellStart"/>
      <w:proofErr w:type="gramStart"/>
      <w:r>
        <w:t>gNB</w:t>
      </w:r>
      <w:proofErr w:type="spellEnd"/>
      <w:r>
        <w:t>;</w:t>
      </w:r>
      <w:proofErr w:type="gramEnd"/>
    </w:p>
    <w:p w14:paraId="6F8E771E" w14:textId="77777777" w:rsidR="004F54BE" w:rsidRDefault="004F54BE" w:rsidP="00A935F2">
      <w:pPr>
        <w:pStyle w:val="Doc-text2"/>
        <w:numPr>
          <w:ilvl w:val="0"/>
          <w:numId w:val="11"/>
        </w:numPr>
        <w:pBdr>
          <w:top w:val="single" w:sz="4" w:space="1" w:color="auto"/>
          <w:left w:val="single" w:sz="4" w:space="4" w:color="auto"/>
          <w:bottom w:val="single" w:sz="4" w:space="1" w:color="auto"/>
          <w:right w:val="single" w:sz="4" w:space="4" w:color="auto"/>
        </w:pBdr>
        <w:autoSpaceDN w:val="0"/>
        <w:ind w:left="644"/>
      </w:pPr>
      <w:r w:rsidRPr="004F54BE">
        <w:rPr>
          <w:highlight w:val="yellow"/>
        </w:rPr>
        <w:t>NTN RACH-less HO can be supported</w:t>
      </w:r>
      <w:r>
        <w:t xml:space="preserve"> for intra-satellite handover with different feeder links, i.e., </w:t>
      </w:r>
      <w:r w:rsidRPr="004F54BE">
        <w:rPr>
          <w:highlight w:val="yellow"/>
        </w:rPr>
        <w:t>with gateway/</w:t>
      </w:r>
      <w:proofErr w:type="spellStart"/>
      <w:r w:rsidRPr="004F54BE">
        <w:rPr>
          <w:highlight w:val="yellow"/>
        </w:rPr>
        <w:t>gNB</w:t>
      </w:r>
      <w:proofErr w:type="spellEnd"/>
      <w:r w:rsidRPr="004F54BE">
        <w:rPr>
          <w:highlight w:val="yellow"/>
        </w:rPr>
        <w:t xml:space="preserve"> switch</w:t>
      </w:r>
      <w:r>
        <w:t xml:space="preserve">, inter-satellite handover </w:t>
      </w:r>
      <w:r w:rsidRPr="004F54BE">
        <w:rPr>
          <w:highlight w:val="yellow"/>
        </w:rPr>
        <w:t>with gateway/</w:t>
      </w:r>
      <w:proofErr w:type="spellStart"/>
      <w:r w:rsidRPr="004F54BE">
        <w:rPr>
          <w:highlight w:val="yellow"/>
        </w:rPr>
        <w:t>gNB</w:t>
      </w:r>
      <w:proofErr w:type="spellEnd"/>
      <w:r w:rsidRPr="004F54BE">
        <w:rPr>
          <w:highlight w:val="yellow"/>
        </w:rPr>
        <w:t xml:space="preserve"> switch</w:t>
      </w:r>
      <w:r>
        <w:t>, and inter-satellite handover with same gateway/</w:t>
      </w:r>
      <w:proofErr w:type="spellStart"/>
      <w:r>
        <w:t>gNB</w:t>
      </w:r>
      <w:proofErr w:type="spellEnd"/>
      <w:r>
        <w:t>.</w:t>
      </w:r>
    </w:p>
    <w:p w14:paraId="477C9F5A" w14:textId="77777777" w:rsidR="004F54BE" w:rsidRDefault="004F54BE" w:rsidP="00A935F2">
      <w:pPr>
        <w:pStyle w:val="Doc-text2"/>
        <w:numPr>
          <w:ilvl w:val="0"/>
          <w:numId w:val="11"/>
        </w:numPr>
        <w:pBdr>
          <w:top w:val="single" w:sz="4" w:space="1" w:color="auto"/>
          <w:left w:val="single" w:sz="4" w:space="4" w:color="auto"/>
          <w:bottom w:val="single" w:sz="4" w:space="1" w:color="auto"/>
          <w:right w:val="single" w:sz="4" w:space="4" w:color="auto"/>
        </w:pBdr>
        <w:autoSpaceDN w:val="0"/>
        <w:ind w:left="644"/>
      </w:pPr>
      <w:r>
        <w:t xml:space="preserve">RAN2 confirms the </w:t>
      </w:r>
      <w:r w:rsidRPr="004F54BE">
        <w:rPr>
          <w:highlight w:val="yellow"/>
        </w:rPr>
        <w:t>general UE procedure for NTN RACH-less HO</w:t>
      </w:r>
      <w:r>
        <w:t xml:space="preserve"> </w:t>
      </w:r>
    </w:p>
    <w:p w14:paraId="12FA1770" w14:textId="6A35E4F3"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ab/>
        <w:t>1.</w:t>
      </w:r>
      <w:r w:rsidR="00A935F2">
        <w:t xml:space="preserve">   </w:t>
      </w:r>
      <w:r>
        <w:t>receive a RACH-less HO command which can include pre-allocated grant optionally. FFS N_TA is optional. (RRC)</w:t>
      </w:r>
    </w:p>
    <w:p w14:paraId="1F61F211" w14:textId="3AA5157B"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ab/>
        <w:t>2.</w:t>
      </w:r>
      <w:r w:rsidR="00A935F2">
        <w:t xml:space="preserve">   </w:t>
      </w:r>
      <w:r>
        <w:t>start timer T304 for the target cell (RRC)</w:t>
      </w:r>
    </w:p>
    <w:p w14:paraId="0B902981" w14:textId="572ED4C3"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ab/>
        <w:t>3.</w:t>
      </w:r>
      <w:r w:rsidR="00A935F2">
        <w:t xml:space="preserve">   </w:t>
      </w:r>
      <w:r>
        <w:t xml:space="preserve">perform DL and UL </w:t>
      </w:r>
      <w:proofErr w:type="gramStart"/>
      <w:r>
        <w:t>synchronization, and</w:t>
      </w:r>
      <w:proofErr w:type="gramEnd"/>
      <w:r>
        <w:t xml:space="preserve"> start timer T430. FFS how to perform RACH-less UL synchronization to NTN target cell. (RRC, MAC)</w:t>
      </w:r>
    </w:p>
    <w:p w14:paraId="3494FD99" w14:textId="35CB66AD"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ab/>
        <w:t>4.</w:t>
      </w:r>
      <w:r w:rsidR="00A935F2">
        <w:t xml:space="preserve">   </w:t>
      </w:r>
      <w:r>
        <w:t>start time alignment timer (MAC)</w:t>
      </w:r>
    </w:p>
    <w:p w14:paraId="52D1B836" w14:textId="5E0D0D7D"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ab/>
        <w:t>5.</w:t>
      </w:r>
      <w:r w:rsidR="00A935F2">
        <w:t xml:space="preserve">   </w:t>
      </w:r>
      <w:r>
        <w:t>monitor target cell PDCCH for dynamic grant if pre-allocated grant is not configured in RACH-less HO command (MAC, PHY)</w:t>
      </w:r>
    </w:p>
    <w:p w14:paraId="5294E375" w14:textId="42F221F2"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ab/>
        <w:t>6.</w:t>
      </w:r>
      <w:r w:rsidR="00A935F2">
        <w:t xml:space="preserve">   </w:t>
      </w:r>
      <w:r>
        <w:t xml:space="preserve">send initial UL transmission including </w:t>
      </w:r>
      <w:proofErr w:type="spellStart"/>
      <w:r>
        <w:t>RRCReconfigurationComplete</w:t>
      </w:r>
      <w:proofErr w:type="spellEnd"/>
      <w:r>
        <w:t xml:space="preserve"> message using the available UL grant (RRC, MAC, PHY)</w:t>
      </w:r>
    </w:p>
    <w:p w14:paraId="34E6D24D" w14:textId="6744515C"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ab/>
        <w:t>7.</w:t>
      </w:r>
      <w:r w:rsidR="00A935F2">
        <w:t xml:space="preserve">   </w:t>
      </w:r>
      <w:r>
        <w:t>consider RACH-less HO is completed upon receiving NW confirmation. FFS how to confirm RACH-less HO is successfully completed. (RRC, MAC)</w:t>
      </w:r>
    </w:p>
    <w:p w14:paraId="161EA2CD" w14:textId="61ADE558"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ab/>
        <w:t>8.</w:t>
      </w:r>
      <w:r w:rsidR="00A935F2">
        <w:t xml:space="preserve">   </w:t>
      </w:r>
      <w:r>
        <w:t>stop timer T304 for the target cell. (RRC)</w:t>
      </w:r>
    </w:p>
    <w:p w14:paraId="3058493F" w14:textId="77777777"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ab/>
        <w:t>FFS whether to release UL grant if pre-allocated after RACH-less HO completion</w:t>
      </w:r>
    </w:p>
    <w:p w14:paraId="45FEC742" w14:textId="77777777"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ab/>
        <w:t xml:space="preserve">FFS RACH-less HO failure handling, </w:t>
      </w:r>
      <w:proofErr w:type="gramStart"/>
      <w:r>
        <w:t>e.g.</w:t>
      </w:r>
      <w:proofErr w:type="gramEnd"/>
      <w:r>
        <w:t xml:space="preserve"> whether UE fallback to RACH-based HO to the target cell</w:t>
      </w:r>
    </w:p>
    <w:p w14:paraId="5A2F12DB" w14:textId="77777777"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ab/>
        <w:t>FFS procedure for RACH-less HO combined with PCI unchanged or CHO if supported</w:t>
      </w:r>
    </w:p>
    <w:p w14:paraId="5AF33A44" w14:textId="77777777" w:rsidR="004F54BE" w:rsidRDefault="004F54BE" w:rsidP="00A935F2">
      <w:pPr>
        <w:pStyle w:val="Doc-text2"/>
        <w:pBdr>
          <w:top w:val="single" w:sz="4" w:space="1" w:color="auto"/>
          <w:left w:val="single" w:sz="4" w:space="4" w:color="auto"/>
          <w:bottom w:val="single" w:sz="4" w:space="1" w:color="auto"/>
          <w:right w:val="single" w:sz="4" w:space="4" w:color="auto"/>
        </w:pBdr>
        <w:ind w:left="647"/>
      </w:pPr>
      <w:r>
        <w:t>4.</w:t>
      </w:r>
      <w:r>
        <w:tab/>
        <w:t>The pre-allocated grant is provided as type-1 CG</w:t>
      </w:r>
    </w:p>
    <w:p w14:paraId="59F59FF4" w14:textId="430588A0" w:rsidR="004F54BE" w:rsidRDefault="004F54BE" w:rsidP="00A935F2">
      <w:pPr>
        <w:pStyle w:val="Doc-text2"/>
        <w:pBdr>
          <w:top w:val="single" w:sz="4" w:space="1" w:color="auto"/>
          <w:left w:val="single" w:sz="4" w:space="4" w:color="auto"/>
          <w:bottom w:val="single" w:sz="4" w:space="1" w:color="auto"/>
          <w:right w:val="single" w:sz="4" w:space="4" w:color="auto"/>
        </w:pBdr>
        <w:spacing w:after="180"/>
        <w:ind w:left="647"/>
      </w:pPr>
      <w:r>
        <w:t>5.</w:t>
      </w:r>
      <w:r>
        <w:tab/>
      </w:r>
      <w:r w:rsidRPr="004F54BE">
        <w:rPr>
          <w:highlight w:val="yellow"/>
        </w:rPr>
        <w:t>Send an LS to RAN1 informing RAN2 agreements on NTN RACH-less HO and check RAN1 views on the following aspects</w:t>
      </w:r>
      <w:r>
        <w:t>:</w:t>
      </w:r>
    </w:p>
    <w:p w14:paraId="538CD4A4" w14:textId="4B1B8173" w:rsidR="004F54BE" w:rsidRDefault="004F54BE" w:rsidP="004F54BE">
      <w:pPr>
        <w:rPr>
          <w:szCs w:val="22"/>
        </w:rPr>
      </w:pPr>
      <w:r w:rsidRPr="004F54BE">
        <w:rPr>
          <w:szCs w:val="22"/>
        </w:rPr>
        <w:t xml:space="preserve">It is also noted that RAN2 </w:t>
      </w:r>
      <w:r>
        <w:rPr>
          <w:szCs w:val="22"/>
        </w:rPr>
        <w:t xml:space="preserve">already </w:t>
      </w:r>
      <w:r w:rsidRPr="004F54BE">
        <w:rPr>
          <w:szCs w:val="22"/>
        </w:rPr>
        <w:t>sent an LS to RAN1</w:t>
      </w:r>
      <w:r>
        <w:rPr>
          <w:szCs w:val="22"/>
        </w:rPr>
        <w:t xml:space="preserve"> (</w:t>
      </w:r>
      <w:hyperlink r:id="rId15" w:history="1">
        <w:r w:rsidRPr="004F54BE">
          <w:rPr>
            <w:rStyle w:val="Hyperlink"/>
            <w:szCs w:val="22"/>
          </w:rPr>
          <w:t>R2-2304271</w:t>
        </w:r>
      </w:hyperlink>
      <w:r>
        <w:rPr>
          <w:szCs w:val="22"/>
        </w:rPr>
        <w:t>) to</w:t>
      </w:r>
      <w:r w:rsidRPr="004F54BE">
        <w:rPr>
          <w:szCs w:val="22"/>
        </w:rPr>
        <w:t xml:space="preserve"> enquir</w:t>
      </w:r>
      <w:r>
        <w:rPr>
          <w:szCs w:val="22"/>
        </w:rPr>
        <w:t>e</w:t>
      </w:r>
      <w:r w:rsidRPr="004F54BE">
        <w:rPr>
          <w:szCs w:val="22"/>
        </w:rPr>
        <w:t xml:space="preserve"> about beam selection for RACH-less HO in Rel-18 NTN</w:t>
      </w:r>
      <w:r>
        <w:rPr>
          <w:szCs w:val="22"/>
        </w:rPr>
        <w:t>:</w:t>
      </w:r>
    </w:p>
    <w:p w14:paraId="37093C91" w14:textId="77777777" w:rsidR="004F54BE" w:rsidRDefault="004F54BE" w:rsidP="004F54BE">
      <w:pPr>
        <w:pBdr>
          <w:top w:val="single" w:sz="4" w:space="1" w:color="auto"/>
          <w:left w:val="single" w:sz="4" w:space="4" w:color="auto"/>
          <w:bottom w:val="single" w:sz="4" w:space="1" w:color="auto"/>
          <w:right w:val="single" w:sz="4" w:space="4" w:color="auto"/>
        </w:pBdr>
        <w:spacing w:beforeLines="100" w:before="240"/>
        <w:jc w:val="both"/>
        <w:rPr>
          <w:rFonts w:eastAsia="SimSun"/>
          <w:lang w:eastAsia="zh-CN"/>
        </w:rPr>
      </w:pPr>
      <w:r>
        <w:rPr>
          <w:rFonts w:eastAsia="SimSun"/>
          <w:lang w:eastAsia="zh-CN"/>
        </w:rPr>
        <w:t>RAN2 has also identified some issues which are more relevant to RAN1 and would like to check RAN1 views on the following aspects for NTN RACH-less HO.</w:t>
      </w:r>
    </w:p>
    <w:p w14:paraId="659049F9" w14:textId="4FF9CD2D" w:rsidR="004F54BE" w:rsidRDefault="004F54BE" w:rsidP="004F54BE">
      <w:pPr>
        <w:pBdr>
          <w:top w:val="single" w:sz="4" w:space="1" w:color="auto"/>
          <w:left w:val="single" w:sz="4" w:space="4" w:color="auto"/>
          <w:bottom w:val="single" w:sz="4" w:space="1" w:color="auto"/>
          <w:right w:val="single" w:sz="4" w:space="4" w:color="auto"/>
        </w:pBdr>
        <w:spacing w:beforeLines="100" w:before="240"/>
        <w:jc w:val="both"/>
        <w:rPr>
          <w:rFonts w:eastAsia="SimSun"/>
          <w:lang w:eastAsia="zh-CN"/>
        </w:rPr>
      </w:pPr>
      <w:r>
        <w:rPr>
          <w:rFonts w:eastAsia="SimSun"/>
          <w:lang w:eastAsia="zh-CN"/>
        </w:rPr>
        <w:t>2. To monitor target cell PDCCH for dynamic grant for initial UL transmission, whether beam selection is needed (e.g., performed by NW with selected beam(s) indicated, or performed by UE)?</w:t>
      </w:r>
    </w:p>
    <w:p w14:paraId="72C40362" w14:textId="78B4627F" w:rsidR="00787A02" w:rsidRPr="00787A02" w:rsidRDefault="00787A02" w:rsidP="004F54BE">
      <w:pPr>
        <w:rPr>
          <w:rFonts w:cstheme="minorHAnsi"/>
          <w:b/>
          <w:bCs/>
          <w:lang w:eastAsia="zh-CN"/>
        </w:rPr>
      </w:pPr>
      <w:r w:rsidRPr="00724198">
        <w:rPr>
          <w:rFonts w:cstheme="minorHAnsi"/>
          <w:b/>
          <w:bCs/>
          <w:lang w:eastAsia="zh-CN"/>
        </w:rPr>
        <w:lastRenderedPageBreak/>
        <w:t>Observation 3</w:t>
      </w:r>
      <w:r w:rsidRPr="004B2596">
        <w:rPr>
          <w:rFonts w:cstheme="minorHAnsi"/>
          <w:lang w:eastAsia="zh-CN"/>
        </w:rPr>
        <w:t xml:space="preserve">: </w:t>
      </w:r>
      <w:r>
        <w:rPr>
          <w:rFonts w:cstheme="minorHAnsi"/>
          <w:lang w:eastAsia="zh-CN"/>
        </w:rPr>
        <w:t xml:space="preserve">RAN2 already agreed to support inter-CU RACH-less handover for Rel-18 NTN and is continuing to develop </w:t>
      </w:r>
      <w:r w:rsidR="00347961">
        <w:rPr>
          <w:rFonts w:cstheme="minorHAnsi"/>
          <w:lang w:eastAsia="zh-CN"/>
        </w:rPr>
        <w:t>the solution</w:t>
      </w:r>
      <w:r>
        <w:rPr>
          <w:rFonts w:cstheme="minorHAnsi"/>
          <w:lang w:eastAsia="zh-CN"/>
        </w:rPr>
        <w:t>.</w:t>
      </w:r>
    </w:p>
    <w:p w14:paraId="2E59F2B5" w14:textId="49CE2B33" w:rsidR="004F54BE" w:rsidRPr="004F54BE" w:rsidRDefault="00787A02" w:rsidP="2CF22AC5">
      <w:r>
        <w:t xml:space="preserve">Given </w:t>
      </w:r>
      <w:r w:rsidR="312BE140">
        <w:t xml:space="preserve">the </w:t>
      </w:r>
      <w:proofErr w:type="gramStart"/>
      <w:r w:rsidR="312BE140">
        <w:t>aforementioned complexities</w:t>
      </w:r>
      <w:proofErr w:type="gramEnd"/>
      <w:r w:rsidR="312BE140">
        <w:t xml:space="preserve"> and considering </w:t>
      </w:r>
      <w:r>
        <w:t xml:space="preserve">RAN2’s current progress on RACH-less for NTN, we think it is better for RAN2 to avoid </w:t>
      </w:r>
      <w:r w:rsidR="32C7B1A1">
        <w:t>parallel effort for mobile IAB</w:t>
      </w:r>
      <w:r>
        <w:t xml:space="preserve"> RACH-less HO. </w:t>
      </w:r>
      <w:r w:rsidR="67F6F2ED">
        <w:t xml:space="preserve">Later, </w:t>
      </w:r>
      <w:r w:rsidR="0B49A06D">
        <w:t xml:space="preserve">after more </w:t>
      </w:r>
      <w:r w:rsidR="67F6F2ED">
        <w:t>progress</w:t>
      </w:r>
      <w:r w:rsidR="23195FAD">
        <w:t xml:space="preserve"> is</w:t>
      </w:r>
      <w:r w:rsidR="67F6F2ED">
        <w:t xml:space="preserve"> made in</w:t>
      </w:r>
      <w:r>
        <w:t xml:space="preserve"> </w:t>
      </w:r>
      <w:r w:rsidR="5096F309">
        <w:t xml:space="preserve">Rel-18 </w:t>
      </w:r>
      <w:r w:rsidR="2EEC614B">
        <w:t xml:space="preserve">NTN </w:t>
      </w:r>
      <w:r>
        <w:t>RACH-less</w:t>
      </w:r>
      <w:r w:rsidR="28FBC3EF">
        <w:t xml:space="preserve">, RAN2 </w:t>
      </w:r>
      <w:r w:rsidR="2AF89021">
        <w:t xml:space="preserve">could </w:t>
      </w:r>
      <w:r w:rsidR="31945DCE">
        <w:t>possibly</w:t>
      </w:r>
      <w:r w:rsidR="3EAD75A1">
        <w:t xml:space="preserve"> consider extending the feature to Rel-18 TN UEs for the mobile IAB context</w:t>
      </w:r>
      <w:r w:rsidR="1413BAE7">
        <w:t>, if applicable</w:t>
      </w:r>
      <w:r w:rsidR="3EAD75A1">
        <w:t>.</w:t>
      </w:r>
    </w:p>
    <w:p w14:paraId="30A48118" w14:textId="3334397B" w:rsidR="0051293A" w:rsidRPr="00303D47" w:rsidRDefault="00793017" w:rsidP="00793017">
      <w:r w:rsidRPr="2CF22AC5">
        <w:rPr>
          <w:rFonts w:cstheme="minorBidi"/>
          <w:b/>
          <w:bCs/>
          <w:lang w:eastAsia="zh-CN"/>
        </w:rPr>
        <w:t>Proposal</w:t>
      </w:r>
      <w:r w:rsidRPr="2CF22AC5">
        <w:rPr>
          <w:b/>
          <w:bCs/>
        </w:rPr>
        <w:t xml:space="preserve"> </w:t>
      </w:r>
      <w:r w:rsidR="005D6847" w:rsidRPr="2CF22AC5">
        <w:rPr>
          <w:b/>
          <w:bCs/>
        </w:rPr>
        <w:t>1</w:t>
      </w:r>
      <w:r>
        <w:t>: RAN2 does not pursue RACH-less handover enhancements specific to mobile IAB.</w:t>
      </w:r>
      <w:r w:rsidR="00787A02">
        <w:t xml:space="preserve"> </w:t>
      </w:r>
      <w:r w:rsidR="00347961">
        <w:t>Later, if it is confirmed applicable</w:t>
      </w:r>
      <w:r w:rsidR="5B57AE7A">
        <w:t xml:space="preserve"> to Rel-18 IAB</w:t>
      </w:r>
      <w:r w:rsidR="00347961">
        <w:t xml:space="preserve">, </w:t>
      </w:r>
      <w:r w:rsidR="00787A02">
        <w:t xml:space="preserve">NTN RACH-less could </w:t>
      </w:r>
      <w:r w:rsidR="6E1D9FD3">
        <w:t xml:space="preserve">possibly be </w:t>
      </w:r>
      <w:r w:rsidR="00787A02">
        <w:t>considered for</w:t>
      </w:r>
      <w:r w:rsidR="00A935F2">
        <w:t xml:space="preserve"> mobile</w:t>
      </w:r>
      <w:r w:rsidR="00787A02">
        <w:t xml:space="preserve"> IAB.</w:t>
      </w:r>
    </w:p>
    <w:p w14:paraId="6327A5E6" w14:textId="34A0303F" w:rsidR="009339CB" w:rsidRPr="006E13D1" w:rsidRDefault="009339CB" w:rsidP="00793017">
      <w:pPr>
        <w:pStyle w:val="Heading2"/>
      </w:pPr>
      <w:r>
        <w:t>2</w:t>
      </w:r>
      <w:r w:rsidRPr="006E13D1">
        <w:t>.2</w:t>
      </w:r>
      <w:r w:rsidRPr="006E13D1">
        <w:tab/>
      </w:r>
      <w:r w:rsidR="00CC7F95">
        <w:t>Conditional handover of on-board UEs</w:t>
      </w:r>
    </w:p>
    <w:p w14:paraId="47B8C5FF" w14:textId="43E7DAA2" w:rsidR="00B9479F" w:rsidRDefault="00CC7F95" w:rsidP="003D4B28">
      <w:r>
        <w:t xml:space="preserve">Earlier there were concerns that the full migration scenario could create </w:t>
      </w:r>
      <w:r w:rsidR="00C45C0C">
        <w:t>problems due</w:t>
      </w:r>
      <w:r>
        <w:t xml:space="preserve"> to handover of </w:t>
      </w:r>
      <w:proofErr w:type="gramStart"/>
      <w:r>
        <w:t>a large number of</w:t>
      </w:r>
      <w:proofErr w:type="gramEnd"/>
      <w:r>
        <w:t xml:space="preserve"> UEs from source </w:t>
      </w:r>
      <w:r w:rsidR="006F5CDD">
        <w:t>to target logical</w:t>
      </w:r>
      <w:r>
        <w:t xml:space="preserve"> DU </w:t>
      </w:r>
      <w:r w:rsidR="006F5CDD">
        <w:t>in parallel with the IAB-MT handover</w:t>
      </w:r>
      <w:r>
        <w:t>, which could result in</w:t>
      </w:r>
      <w:r w:rsidRPr="002A466F">
        <w:t xml:space="preserve"> an unwanted signalling storm</w:t>
      </w:r>
      <w:r w:rsidR="00A935F2">
        <w:t>s</w:t>
      </w:r>
      <w:r w:rsidRPr="002A466F">
        <w:t xml:space="preserve"> and failure risk</w:t>
      </w:r>
      <w:r w:rsidR="00A935F2">
        <w:t>s</w:t>
      </w:r>
      <w:r>
        <w:t xml:space="preserve">. </w:t>
      </w:r>
      <w:r w:rsidR="00B9479F">
        <w:t xml:space="preserve">RAN2 has considered several options for handover </w:t>
      </w:r>
      <w:r>
        <w:t>of on-board UEs in this scenario</w:t>
      </w:r>
      <w:r w:rsidR="00B9479F">
        <w:t>.</w:t>
      </w:r>
      <w:r>
        <w:t xml:space="preserve"> </w:t>
      </w:r>
      <w:r w:rsidR="00B9479F">
        <w:t xml:space="preserve">One possibility discussed </w:t>
      </w:r>
      <w:r w:rsidR="006F5CDD">
        <w:t>to minimize simultaneous handover triggering was</w:t>
      </w:r>
      <w:r w:rsidR="00B9479F">
        <w:t xml:space="preserve"> to support CHO</w:t>
      </w:r>
      <w:r w:rsidR="006F5CDD">
        <w:t xml:space="preserve"> (</w:t>
      </w:r>
      <w:r w:rsidR="00B9479F">
        <w:t xml:space="preserve">which </w:t>
      </w:r>
      <w:r w:rsidR="006F5CDD">
        <w:t>would</w:t>
      </w:r>
      <w:r w:rsidR="00B9479F">
        <w:t xml:space="preserve"> </w:t>
      </w:r>
      <w:r w:rsidR="006F5CDD">
        <w:t xml:space="preserve">include </w:t>
      </w:r>
      <w:r w:rsidR="00B9479F">
        <w:t>Rel-16/Rel-17 UEs</w:t>
      </w:r>
      <w:r w:rsidR="006F5CDD">
        <w:t>)</w:t>
      </w:r>
      <w:r w:rsidR="00B9479F">
        <w:t xml:space="preserve">. Furthermore, in RAN2#121bis, it was discussed whether to additionally support </w:t>
      </w:r>
      <w:proofErr w:type="spellStart"/>
      <w:r w:rsidR="00B9479F">
        <w:t>CondEvent</w:t>
      </w:r>
      <w:proofErr w:type="spellEnd"/>
      <w:r w:rsidR="00B9479F">
        <w:t xml:space="preserve"> T1 for Rel-18 UEs, to “spread out” signalling</w:t>
      </w:r>
      <w:r w:rsidR="006F5CDD">
        <w:t xml:space="preserve"> based on a timer</w:t>
      </w:r>
      <w:r w:rsidR="00B9479F">
        <w:t>.</w:t>
      </w:r>
    </w:p>
    <w:p w14:paraId="7675D97A" w14:textId="13CF4AE5" w:rsidR="008C6CC6" w:rsidRDefault="00D52889" w:rsidP="00347961">
      <w:pPr>
        <w:rPr>
          <w:rFonts w:eastAsia="MS PGothic" w:cs="Arial"/>
          <w:szCs w:val="18"/>
        </w:rPr>
      </w:pPr>
      <w:proofErr w:type="spellStart"/>
      <w:r>
        <w:t>CondEvent</w:t>
      </w:r>
      <w:proofErr w:type="spellEnd"/>
      <w:r>
        <w:t xml:space="preserve"> T1 was defined </w:t>
      </w:r>
      <w:r w:rsidR="00D63409">
        <w:t>in</w:t>
      </w:r>
      <w:r>
        <w:t xml:space="preserve"> Rel-17</w:t>
      </w:r>
      <w:r w:rsidR="00D63409">
        <w:t xml:space="preserve"> and is triggered when a configured threshold </w:t>
      </w:r>
      <w:r w:rsidR="00D63409">
        <w:rPr>
          <w:i/>
          <w:iCs/>
        </w:rPr>
        <w:t>t1-threshold</w:t>
      </w:r>
      <w:r w:rsidR="00D63409">
        <w:t xml:space="preserve"> </w:t>
      </w:r>
      <w:r w:rsidR="00477F2A">
        <w:t>(defined as a specific UTC time in 10ms)</w:t>
      </w:r>
      <w:r w:rsidR="00D63409">
        <w:t xml:space="preserve"> has elapsed. </w:t>
      </w:r>
      <w:proofErr w:type="spellStart"/>
      <w:r w:rsidR="00CE57C5">
        <w:t>CondEvent</w:t>
      </w:r>
      <w:proofErr w:type="spellEnd"/>
      <w:r w:rsidR="00CE57C5">
        <w:t xml:space="preserve"> T1 is currently only applicable to NTN-capable UEs, but specification effort would be minimal for Rel-18 UEs to support the event, as legacy</w:t>
      </w:r>
      <w:r w:rsidR="00D63409">
        <w:t xml:space="preserve"> UEs </w:t>
      </w:r>
      <w:r w:rsidR="00CE57C5">
        <w:t>can</w:t>
      </w:r>
      <w:r w:rsidR="00D63409">
        <w:t xml:space="preserve"> already determine the current UTC time </w:t>
      </w:r>
      <w:r w:rsidR="00477F2A">
        <w:t>from</w:t>
      </w:r>
      <w:r w:rsidR="00D63409">
        <w:t xml:space="preserve"> the </w:t>
      </w:r>
      <w:proofErr w:type="spellStart"/>
      <w:r w:rsidR="00D63409" w:rsidRPr="00CE57C5">
        <w:rPr>
          <w:i/>
          <w:iCs/>
        </w:rPr>
        <w:t>timeInfoUTC</w:t>
      </w:r>
      <w:proofErr w:type="spellEnd"/>
      <w:r w:rsidR="00D63409">
        <w:t xml:space="preserve"> field broadcasted in SIB9. </w:t>
      </w:r>
      <w:r w:rsidR="00CE57C5">
        <w:t>Indeed, the only</w:t>
      </w:r>
      <w:r w:rsidR="00A935F2">
        <w:t xml:space="preserve"> likely</w:t>
      </w:r>
      <w:r w:rsidR="00CE57C5">
        <w:t xml:space="preserve"> specification changes required for Rel-18 TN UEs to support </w:t>
      </w:r>
      <w:proofErr w:type="spellStart"/>
      <w:r w:rsidR="00CE57C5">
        <w:t>CondEvent</w:t>
      </w:r>
      <w:proofErr w:type="spellEnd"/>
      <w:r w:rsidR="00CE57C5">
        <w:t xml:space="preserve"> T1 would be to remove certain restrictions currently limiting this feature/capability to NTN UEs</w:t>
      </w:r>
      <w:r w:rsidR="00995348">
        <w:t xml:space="preserve"> across the specifications</w:t>
      </w:r>
      <w:r w:rsidR="00CE57C5">
        <w:t>.</w:t>
      </w:r>
    </w:p>
    <w:p w14:paraId="4D847802" w14:textId="758BD5B8" w:rsidR="00F02E96" w:rsidRPr="00D63409" w:rsidRDefault="00F02E96" w:rsidP="00F02E96">
      <w:r w:rsidRPr="00995348">
        <w:rPr>
          <w:b/>
          <w:bCs/>
        </w:rPr>
        <w:t xml:space="preserve">Observation </w:t>
      </w:r>
      <w:r w:rsidR="004B2596">
        <w:rPr>
          <w:b/>
          <w:bCs/>
        </w:rPr>
        <w:t>4</w:t>
      </w:r>
      <w:r>
        <w:t xml:space="preserve">: Rel-18 TN UEs can likely support </w:t>
      </w:r>
      <w:proofErr w:type="spellStart"/>
      <w:r>
        <w:t>CondEvent</w:t>
      </w:r>
      <w:proofErr w:type="spellEnd"/>
      <w:r>
        <w:t xml:space="preserve"> T1 with small specification effort.</w:t>
      </w:r>
    </w:p>
    <w:p w14:paraId="2BFC826E" w14:textId="5887C3A6" w:rsidR="00477F2A" w:rsidRDefault="00E20287" w:rsidP="00477F2A">
      <w:pPr>
        <w:rPr>
          <w:rFonts w:eastAsia="MS PGothic" w:cs="Arial"/>
          <w:szCs w:val="18"/>
        </w:rPr>
      </w:pPr>
      <w:r>
        <w:rPr>
          <w:rFonts w:eastAsia="MS PGothic" w:cs="Arial"/>
          <w:szCs w:val="18"/>
        </w:rPr>
        <w:t xml:space="preserve">On the other hand, in the </w:t>
      </w:r>
      <w:proofErr w:type="spellStart"/>
      <w:r>
        <w:rPr>
          <w:rFonts w:eastAsia="MS PGothic" w:cs="Arial"/>
          <w:szCs w:val="18"/>
        </w:rPr>
        <w:t>mIAB</w:t>
      </w:r>
      <w:proofErr w:type="spellEnd"/>
      <w:r>
        <w:rPr>
          <w:rFonts w:eastAsia="MS PGothic" w:cs="Arial"/>
          <w:szCs w:val="18"/>
        </w:rPr>
        <w:t xml:space="preserve"> context, the overall benefit from Rel-18 TN UEs supporting </w:t>
      </w:r>
      <w:proofErr w:type="spellStart"/>
      <w:r>
        <w:rPr>
          <w:rFonts w:eastAsia="MS PGothic" w:cs="Arial"/>
          <w:szCs w:val="18"/>
        </w:rPr>
        <w:t>CondEvent</w:t>
      </w:r>
      <w:proofErr w:type="spellEnd"/>
      <w:r>
        <w:rPr>
          <w:rFonts w:eastAsia="MS PGothic" w:cs="Arial"/>
          <w:szCs w:val="18"/>
        </w:rPr>
        <w:t xml:space="preserve"> T1 could be quite small. Recalling why CHO was originally discussed in this context, the purpose was to minimize signalling storms</w:t>
      </w:r>
      <w:r w:rsidR="00A51DDD">
        <w:rPr>
          <w:rFonts w:eastAsia="MS PGothic" w:cs="Arial"/>
          <w:szCs w:val="18"/>
        </w:rPr>
        <w:t xml:space="preserve"> and/or connection failures</w:t>
      </w:r>
      <w:r>
        <w:rPr>
          <w:rFonts w:eastAsia="MS PGothic" w:cs="Arial"/>
          <w:szCs w:val="18"/>
        </w:rPr>
        <w:t xml:space="preserve"> associated with simultaneous handovers </w:t>
      </w:r>
      <w:r w:rsidR="00A51DDD">
        <w:rPr>
          <w:rFonts w:eastAsia="MS PGothic" w:cs="Arial"/>
          <w:szCs w:val="18"/>
        </w:rPr>
        <w:t>of connected UEs from source logical DU to target logical DU during full migration.</w:t>
      </w:r>
    </w:p>
    <w:p w14:paraId="5BDE0247" w14:textId="30E33ECF" w:rsidR="00D15895" w:rsidRDefault="00A360ED" w:rsidP="00477F2A">
      <w:pPr>
        <w:rPr>
          <w:rFonts w:eastAsia="MS PGothic" w:cs="Arial"/>
          <w:szCs w:val="18"/>
        </w:rPr>
      </w:pPr>
      <w:r>
        <w:rPr>
          <w:rFonts w:eastAsia="MS PGothic" w:cs="Arial"/>
          <w:szCs w:val="18"/>
        </w:rPr>
        <w:t>However, in RAN2#119bis, it was agreed</w:t>
      </w:r>
      <w:r w:rsidR="00811098">
        <w:rPr>
          <w:rFonts w:eastAsia="MS PGothic" w:cs="Arial"/>
          <w:szCs w:val="18"/>
        </w:rPr>
        <w:t xml:space="preserve"> (</w:t>
      </w:r>
      <w:hyperlink r:id="rId16" w:history="1">
        <w:r w:rsidR="00811098" w:rsidRPr="00811098">
          <w:rPr>
            <w:rStyle w:val="Hyperlink"/>
            <w:rFonts w:eastAsia="MS PGothic" w:cs="Arial"/>
            <w:szCs w:val="18"/>
          </w:rPr>
          <w:t>R2-2211101</w:t>
        </w:r>
      </w:hyperlink>
      <w:r w:rsidR="00811098">
        <w:rPr>
          <w:rFonts w:eastAsia="MS PGothic" w:cs="Arial"/>
          <w:szCs w:val="18"/>
        </w:rPr>
        <w:t>)</w:t>
      </w:r>
      <w:r>
        <w:rPr>
          <w:rFonts w:eastAsia="MS PGothic" w:cs="Arial"/>
          <w:szCs w:val="18"/>
        </w:rPr>
        <w:t>:</w:t>
      </w:r>
    </w:p>
    <w:p w14:paraId="4930B2D8" w14:textId="77777777" w:rsidR="00A360ED" w:rsidRPr="00341B7C" w:rsidRDefault="00A360ED" w:rsidP="00A360ED">
      <w:pPr>
        <w:pStyle w:val="Agreement"/>
        <w:pBdr>
          <w:top w:val="single" w:sz="4" w:space="1" w:color="auto"/>
          <w:left w:val="single" w:sz="4" w:space="4" w:color="auto"/>
          <w:bottom w:val="single" w:sz="4" w:space="1" w:color="auto"/>
          <w:right w:val="single" w:sz="4" w:space="4" w:color="auto"/>
        </w:pBdr>
        <w:spacing w:before="0" w:after="180"/>
        <w:ind w:left="357" w:hanging="357"/>
      </w:pPr>
      <w:r w:rsidRPr="00341B7C">
        <w:t xml:space="preserve">RAN2 focuses on the scenario where, during full migration, the UE sees the </w:t>
      </w:r>
      <w:r w:rsidRPr="00341B7C">
        <w:rPr>
          <w:rFonts w:cstheme="minorHAnsi"/>
        </w:rPr>
        <w:t>two logical DU cells as different physical cells (</w:t>
      </w:r>
      <w:proofErr w:type="gramStart"/>
      <w:r w:rsidRPr="00341B7C">
        <w:rPr>
          <w:rFonts w:cstheme="minorHAnsi"/>
        </w:rPr>
        <w:t>e.g.</w:t>
      </w:r>
      <w:proofErr w:type="gramEnd"/>
      <w:r w:rsidRPr="00341B7C">
        <w:rPr>
          <w:rFonts w:cstheme="minorHAnsi"/>
        </w:rPr>
        <w:t xml:space="preserve"> with different PCI if same carrier), and where the two logical DU cells use separate physical resources (i.e., different carriers, or orthogonal time and frequency resources of the same carrier, as supported by legacy L1).</w:t>
      </w:r>
    </w:p>
    <w:p w14:paraId="090598B0" w14:textId="61467CFA" w:rsidR="00A360ED" w:rsidRDefault="00A360ED" w:rsidP="00477F2A">
      <w:pPr>
        <w:rPr>
          <w:rFonts w:eastAsia="MS PGothic" w:cs="Arial"/>
          <w:szCs w:val="18"/>
        </w:rPr>
      </w:pPr>
      <w:r>
        <w:rPr>
          <w:rFonts w:eastAsia="MS PGothic" w:cs="Arial"/>
          <w:szCs w:val="18"/>
        </w:rPr>
        <w:t>And, in RAN3#119 it was agreed</w:t>
      </w:r>
      <w:r w:rsidR="00811098">
        <w:rPr>
          <w:rFonts w:eastAsia="MS PGothic" w:cs="Arial"/>
          <w:szCs w:val="18"/>
        </w:rPr>
        <w:t xml:space="preserve"> </w:t>
      </w:r>
      <w:hyperlink r:id="rId17" w:history="1">
        <w:r w:rsidR="00811098" w:rsidRPr="00811098">
          <w:rPr>
            <w:rStyle w:val="Hyperlink"/>
            <w:rFonts w:eastAsia="MS PGothic" w:cs="Arial"/>
            <w:szCs w:val="18"/>
          </w:rPr>
          <w:t>(R3-231101</w:t>
        </w:r>
      </w:hyperlink>
      <w:r w:rsidR="00811098">
        <w:rPr>
          <w:rFonts w:eastAsia="MS PGothic" w:cs="Arial"/>
          <w:szCs w:val="18"/>
        </w:rPr>
        <w:t>)</w:t>
      </w:r>
      <w:r>
        <w:rPr>
          <w:rFonts w:eastAsia="MS PGothic" w:cs="Arial"/>
          <w:szCs w:val="18"/>
        </w:rPr>
        <w:t>:</w:t>
      </w:r>
    </w:p>
    <w:p w14:paraId="75915476" w14:textId="77777777" w:rsidR="00A360ED" w:rsidRDefault="00A360ED" w:rsidP="00A360ED">
      <w:pPr>
        <w:widowControl w:val="0"/>
        <w:pBdr>
          <w:top w:val="single" w:sz="4" w:space="1" w:color="auto"/>
          <w:left w:val="single" w:sz="4" w:space="4" w:color="auto"/>
          <w:bottom w:val="single" w:sz="4" w:space="1" w:color="auto"/>
          <w:right w:val="single" w:sz="4" w:space="4" w:color="auto"/>
        </w:pBdr>
        <w:ind w:left="144" w:hanging="144"/>
        <w:rPr>
          <w:b/>
          <w:color w:val="008000"/>
        </w:rPr>
      </w:pPr>
      <w:r>
        <w:rPr>
          <w:b/>
          <w:bCs/>
          <w:color w:val="007434"/>
          <w:u w:val="single"/>
        </w:rPr>
        <w:t xml:space="preserve">Agreements: </w:t>
      </w:r>
      <w:r>
        <w:rPr>
          <w:b/>
          <w:color w:val="008000"/>
        </w:rPr>
        <w:t xml:space="preserve">The HO of UEs from the source logical </w:t>
      </w:r>
      <w:proofErr w:type="spellStart"/>
      <w:r>
        <w:rPr>
          <w:b/>
          <w:color w:val="008000"/>
        </w:rPr>
        <w:t>mIAB</w:t>
      </w:r>
      <w:proofErr w:type="spellEnd"/>
      <w:r>
        <w:rPr>
          <w:b/>
          <w:color w:val="008000"/>
        </w:rPr>
        <w:t xml:space="preserve">-DU´s CU to the target logical </w:t>
      </w:r>
      <w:proofErr w:type="spellStart"/>
      <w:r>
        <w:rPr>
          <w:b/>
          <w:color w:val="008000"/>
        </w:rPr>
        <w:t>mIAB</w:t>
      </w:r>
      <w:proofErr w:type="spellEnd"/>
      <w:r>
        <w:rPr>
          <w:b/>
          <w:color w:val="008000"/>
        </w:rPr>
        <w:t xml:space="preserve">-DU´s CU should happen after the completion of the F1 setup. When to trigger the HO is up to source logical </w:t>
      </w:r>
      <w:proofErr w:type="spellStart"/>
      <w:r>
        <w:rPr>
          <w:b/>
          <w:color w:val="008000"/>
        </w:rPr>
        <w:t>mIAB</w:t>
      </w:r>
      <w:proofErr w:type="spellEnd"/>
      <w:r>
        <w:rPr>
          <w:b/>
          <w:color w:val="008000"/>
        </w:rPr>
        <w:t>-DU´s CU implementation.</w:t>
      </w:r>
    </w:p>
    <w:p w14:paraId="2A593851" w14:textId="2E756B02" w:rsidR="00325E76" w:rsidRDefault="00A935F2" w:rsidP="00477F2A">
      <w:pPr>
        <w:rPr>
          <w:rFonts w:eastAsia="MS PGothic" w:cs="Arial"/>
          <w:szCs w:val="18"/>
        </w:rPr>
      </w:pPr>
      <w:r>
        <w:rPr>
          <w:rFonts w:eastAsia="MS PGothic" w:cs="Arial"/>
          <w:szCs w:val="18"/>
        </w:rPr>
        <w:t>Additionally,</w:t>
      </w:r>
      <w:r w:rsidR="00325E76">
        <w:rPr>
          <w:rFonts w:eastAsia="MS PGothic" w:cs="Arial"/>
          <w:szCs w:val="18"/>
        </w:rPr>
        <w:t xml:space="preserve"> an earlier agreement from RAN3#117bis states (</w:t>
      </w:r>
      <w:hyperlink r:id="rId18" w:history="1">
        <w:r w:rsidR="00325E76" w:rsidRPr="00325E76">
          <w:rPr>
            <w:rStyle w:val="Hyperlink"/>
            <w:rFonts w:eastAsia="MS PGothic" w:cs="Arial"/>
            <w:szCs w:val="18"/>
          </w:rPr>
          <w:t>R3-226101</w:t>
        </w:r>
      </w:hyperlink>
      <w:r w:rsidR="00325E76">
        <w:rPr>
          <w:rFonts w:eastAsia="MS PGothic" w:cs="Arial"/>
          <w:szCs w:val="18"/>
        </w:rPr>
        <w:t>):</w:t>
      </w:r>
    </w:p>
    <w:p w14:paraId="2B2D70AC" w14:textId="0491BC49" w:rsidR="00325E76" w:rsidRDefault="00325E76" w:rsidP="00325E76">
      <w:pPr>
        <w:pBdr>
          <w:top w:val="single" w:sz="4" w:space="1" w:color="auto"/>
          <w:left w:val="single" w:sz="4" w:space="4" w:color="auto"/>
          <w:bottom w:val="single" w:sz="4" w:space="1" w:color="auto"/>
          <w:right w:val="single" w:sz="4" w:space="4" w:color="auto"/>
        </w:pBdr>
        <w:rPr>
          <w:rFonts w:eastAsia="MS PGothic" w:cs="Arial"/>
          <w:szCs w:val="18"/>
        </w:rPr>
      </w:pPr>
      <w:proofErr w:type="spellStart"/>
      <w:r>
        <w:rPr>
          <w:b/>
          <w:bCs/>
          <w:color w:val="007434"/>
        </w:rPr>
        <w:t>mIAB</w:t>
      </w:r>
      <w:proofErr w:type="spellEnd"/>
      <w:r>
        <w:rPr>
          <w:b/>
          <w:bCs/>
          <w:color w:val="007434"/>
        </w:rPr>
        <w:t xml:space="preserve">-DU migration and </w:t>
      </w:r>
      <w:proofErr w:type="spellStart"/>
      <w:r>
        <w:rPr>
          <w:b/>
          <w:bCs/>
          <w:color w:val="007434"/>
        </w:rPr>
        <w:t>mIAB</w:t>
      </w:r>
      <w:proofErr w:type="spellEnd"/>
      <w:r>
        <w:rPr>
          <w:b/>
          <w:bCs/>
          <w:color w:val="007434"/>
        </w:rPr>
        <w:t>-MT handover can be executed independently from each other.</w:t>
      </w:r>
    </w:p>
    <w:p w14:paraId="57811412" w14:textId="47A847F4" w:rsidR="001006AB" w:rsidRDefault="00325E76" w:rsidP="00477F2A">
      <w:pPr>
        <w:rPr>
          <w:rFonts w:eastAsia="MS PGothic" w:cs="Arial"/>
          <w:szCs w:val="18"/>
        </w:rPr>
      </w:pPr>
      <w:r>
        <w:rPr>
          <w:rFonts w:eastAsia="MS PGothic" w:cs="Arial"/>
          <w:szCs w:val="18"/>
        </w:rPr>
        <w:t>T</w:t>
      </w:r>
      <w:r w:rsidR="00A360ED">
        <w:rPr>
          <w:rFonts w:eastAsia="MS PGothic" w:cs="Arial"/>
          <w:szCs w:val="18"/>
        </w:rPr>
        <w:t xml:space="preserve">hese agreements imply that the cells of the source and target logical DUs </w:t>
      </w:r>
      <w:r w:rsidR="00D035FD">
        <w:rPr>
          <w:rFonts w:eastAsia="MS PGothic" w:cs="Arial"/>
          <w:szCs w:val="18"/>
        </w:rPr>
        <w:t>could</w:t>
      </w:r>
      <w:r w:rsidR="00A360ED">
        <w:rPr>
          <w:rFonts w:eastAsia="MS PGothic" w:cs="Arial"/>
          <w:szCs w:val="18"/>
        </w:rPr>
        <w:t xml:space="preserve"> be active simultaneously and</w:t>
      </w:r>
      <w:r w:rsidR="00D035FD">
        <w:rPr>
          <w:rFonts w:eastAsia="MS PGothic" w:cs="Arial"/>
          <w:szCs w:val="18"/>
        </w:rPr>
        <w:t xml:space="preserve"> will be</w:t>
      </w:r>
      <w:r w:rsidR="00A360ED">
        <w:rPr>
          <w:rFonts w:eastAsia="MS PGothic" w:cs="Arial"/>
          <w:szCs w:val="18"/>
        </w:rPr>
        <w:t xml:space="preserve"> perceived as distinct cells by connected UEs</w:t>
      </w:r>
      <w:r w:rsidR="00D035FD">
        <w:rPr>
          <w:rFonts w:eastAsia="MS PGothic" w:cs="Arial"/>
          <w:szCs w:val="18"/>
        </w:rPr>
        <w:t xml:space="preserve">, </w:t>
      </w:r>
      <w:r>
        <w:rPr>
          <w:rFonts w:eastAsia="MS PGothic" w:cs="Arial"/>
          <w:szCs w:val="18"/>
        </w:rPr>
        <w:t>and further that there is no coupling of the IAB-MT HO with the handover of on-board UEs. Together, these</w:t>
      </w:r>
      <w:r w:rsidR="00D035FD">
        <w:rPr>
          <w:rFonts w:eastAsia="MS PGothic" w:cs="Arial"/>
          <w:szCs w:val="18"/>
        </w:rPr>
        <w:t xml:space="preserve"> mitigate </w:t>
      </w:r>
      <w:r w:rsidR="00811098">
        <w:rPr>
          <w:rFonts w:eastAsia="MS PGothic" w:cs="Arial"/>
          <w:szCs w:val="18"/>
        </w:rPr>
        <w:t xml:space="preserve">the </w:t>
      </w:r>
      <w:r w:rsidR="00D035FD">
        <w:rPr>
          <w:rFonts w:eastAsia="MS PGothic" w:cs="Arial"/>
          <w:szCs w:val="18"/>
        </w:rPr>
        <w:t xml:space="preserve">risk of handover failures (at least there is no more risk than inter-CU handover in a stationary network). Furthermore, </w:t>
      </w:r>
      <w:r w:rsidR="001006AB">
        <w:rPr>
          <w:rFonts w:eastAsia="MS PGothic" w:cs="Arial"/>
          <w:szCs w:val="18"/>
        </w:rPr>
        <w:t>based on</w:t>
      </w:r>
      <w:r w:rsidR="00D035FD">
        <w:rPr>
          <w:rFonts w:eastAsia="MS PGothic" w:cs="Arial"/>
          <w:szCs w:val="18"/>
        </w:rPr>
        <w:t xml:space="preserve"> the agreement in RAN3</w:t>
      </w:r>
      <w:r w:rsidR="00811098">
        <w:rPr>
          <w:rFonts w:eastAsia="MS PGothic" w:cs="Arial"/>
          <w:szCs w:val="18"/>
        </w:rPr>
        <w:t>#119</w:t>
      </w:r>
      <w:r w:rsidR="00D035FD">
        <w:rPr>
          <w:rFonts w:eastAsia="MS PGothic" w:cs="Arial"/>
          <w:szCs w:val="18"/>
        </w:rPr>
        <w:t>, the source logical DU’s donor CU could “</w:t>
      </w:r>
      <w:r w:rsidR="001006AB">
        <w:rPr>
          <w:rFonts w:eastAsia="MS PGothic" w:cs="Arial"/>
          <w:szCs w:val="18"/>
        </w:rPr>
        <w:t>spread</w:t>
      </w:r>
      <w:r w:rsidR="00D035FD">
        <w:rPr>
          <w:rFonts w:eastAsia="MS PGothic" w:cs="Arial"/>
          <w:szCs w:val="18"/>
        </w:rPr>
        <w:t xml:space="preserve"> out” </w:t>
      </w:r>
      <w:r w:rsidR="00A73938">
        <w:rPr>
          <w:rFonts w:eastAsia="MS PGothic" w:cs="Arial"/>
          <w:szCs w:val="18"/>
        </w:rPr>
        <w:t>the</w:t>
      </w:r>
      <w:r w:rsidR="001006AB">
        <w:rPr>
          <w:rFonts w:eastAsia="MS PGothic" w:cs="Arial"/>
          <w:szCs w:val="18"/>
        </w:rPr>
        <w:t xml:space="preserve"> </w:t>
      </w:r>
      <w:r w:rsidR="00811098">
        <w:rPr>
          <w:rFonts w:eastAsia="MS PGothic" w:cs="Arial"/>
          <w:szCs w:val="18"/>
        </w:rPr>
        <w:t>handover</w:t>
      </w:r>
      <w:r w:rsidR="001006AB">
        <w:rPr>
          <w:rFonts w:eastAsia="MS PGothic" w:cs="Arial"/>
          <w:szCs w:val="18"/>
        </w:rPr>
        <w:t xml:space="preserve"> </w:t>
      </w:r>
      <w:r w:rsidR="00D035FD">
        <w:rPr>
          <w:rFonts w:eastAsia="MS PGothic" w:cs="Arial"/>
          <w:szCs w:val="18"/>
        </w:rPr>
        <w:t>trigger</w:t>
      </w:r>
      <w:r w:rsidR="00A73938">
        <w:rPr>
          <w:rFonts w:eastAsia="MS PGothic" w:cs="Arial"/>
          <w:szCs w:val="18"/>
        </w:rPr>
        <w:t xml:space="preserve">s </w:t>
      </w:r>
      <w:r w:rsidR="00D035FD">
        <w:rPr>
          <w:rFonts w:eastAsia="MS PGothic" w:cs="Arial"/>
          <w:szCs w:val="18"/>
        </w:rPr>
        <w:t>for different UEs</w:t>
      </w:r>
      <w:r w:rsidR="00B9479F">
        <w:rPr>
          <w:rFonts w:eastAsia="MS PGothic" w:cs="Arial"/>
          <w:szCs w:val="18"/>
        </w:rPr>
        <w:t xml:space="preserve"> (</w:t>
      </w:r>
      <w:proofErr w:type="gramStart"/>
      <w:r w:rsidR="00B9479F">
        <w:rPr>
          <w:rFonts w:eastAsia="MS PGothic" w:cs="Arial"/>
          <w:szCs w:val="18"/>
        </w:rPr>
        <w:t>i.e.</w:t>
      </w:r>
      <w:proofErr w:type="gramEnd"/>
      <w:r w:rsidR="00811098">
        <w:rPr>
          <w:rFonts w:eastAsia="MS PGothic" w:cs="Arial"/>
          <w:szCs w:val="18"/>
        </w:rPr>
        <w:t xml:space="preserve"> to</w:t>
      </w:r>
      <w:r w:rsidR="00B9479F">
        <w:rPr>
          <w:rFonts w:eastAsia="MS PGothic" w:cs="Arial"/>
          <w:szCs w:val="18"/>
        </w:rPr>
        <w:t xml:space="preserve"> hand UEs over sequentially)</w:t>
      </w:r>
      <w:r w:rsidR="001006AB">
        <w:rPr>
          <w:rFonts w:eastAsia="MS PGothic" w:cs="Arial"/>
          <w:szCs w:val="18"/>
        </w:rPr>
        <w:t xml:space="preserve"> in order to minimize signalling storms</w:t>
      </w:r>
      <w:r w:rsidR="00D035FD">
        <w:rPr>
          <w:rFonts w:eastAsia="MS PGothic" w:cs="Arial"/>
          <w:szCs w:val="18"/>
        </w:rPr>
        <w:t>.</w:t>
      </w:r>
    </w:p>
    <w:p w14:paraId="1427B353" w14:textId="2912FF7A" w:rsidR="00A360ED" w:rsidRDefault="001006AB" w:rsidP="00477F2A">
      <w:pPr>
        <w:rPr>
          <w:rFonts w:eastAsia="MS PGothic" w:cs="Arial"/>
          <w:szCs w:val="18"/>
        </w:rPr>
      </w:pPr>
      <w:r>
        <w:rPr>
          <w:rFonts w:eastAsia="MS PGothic" w:cs="Arial"/>
          <w:szCs w:val="18"/>
        </w:rPr>
        <w:t xml:space="preserve">Considering the above, the motivation for supporting </w:t>
      </w:r>
      <w:proofErr w:type="spellStart"/>
      <w:r>
        <w:rPr>
          <w:rFonts w:eastAsia="MS PGothic" w:cs="Arial"/>
          <w:szCs w:val="18"/>
        </w:rPr>
        <w:t>CondEvent</w:t>
      </w:r>
      <w:proofErr w:type="spellEnd"/>
      <w:r>
        <w:rPr>
          <w:rFonts w:eastAsia="MS PGothic" w:cs="Arial"/>
          <w:szCs w:val="18"/>
        </w:rPr>
        <w:t xml:space="preserve"> T1 in Rel-18 TN UEs is still not very clear. Even if it is supported, the overall benefit could be quite small anyways since a relatively small number of UEs connected to the mobile IAB node would support it.</w:t>
      </w:r>
    </w:p>
    <w:p w14:paraId="01247CE7" w14:textId="6EE31689" w:rsidR="00A51DDD" w:rsidRDefault="00A51DDD" w:rsidP="00477F2A">
      <w:pPr>
        <w:rPr>
          <w:rFonts w:eastAsia="MS PGothic" w:cs="Arial"/>
          <w:szCs w:val="18"/>
        </w:rPr>
      </w:pPr>
      <w:r w:rsidRPr="00D15895">
        <w:rPr>
          <w:rFonts w:eastAsia="MS PGothic" w:cs="Arial"/>
          <w:b/>
          <w:bCs/>
          <w:szCs w:val="18"/>
        </w:rPr>
        <w:t xml:space="preserve">Observation </w:t>
      </w:r>
      <w:r w:rsidR="004B2596">
        <w:rPr>
          <w:rFonts w:eastAsia="MS PGothic" w:cs="Arial"/>
          <w:b/>
          <w:bCs/>
          <w:szCs w:val="18"/>
        </w:rPr>
        <w:t>5</w:t>
      </w:r>
      <w:r>
        <w:rPr>
          <w:rFonts w:eastAsia="MS PGothic" w:cs="Arial"/>
          <w:szCs w:val="18"/>
        </w:rPr>
        <w:t xml:space="preserve">: </w:t>
      </w:r>
      <w:r w:rsidR="00D15895">
        <w:rPr>
          <w:rFonts w:eastAsia="MS PGothic" w:cs="Arial"/>
          <w:szCs w:val="18"/>
        </w:rPr>
        <w:t>Given current agreements from RAN2 and RAN3, the o</w:t>
      </w:r>
      <w:r>
        <w:rPr>
          <w:rFonts w:eastAsia="MS PGothic" w:cs="Arial"/>
          <w:szCs w:val="18"/>
        </w:rPr>
        <w:t xml:space="preserve">verall </w:t>
      </w:r>
      <w:r w:rsidR="00D15895">
        <w:rPr>
          <w:rFonts w:eastAsia="MS PGothic" w:cs="Arial"/>
          <w:szCs w:val="18"/>
        </w:rPr>
        <w:t xml:space="preserve">motivation for and </w:t>
      </w:r>
      <w:r>
        <w:rPr>
          <w:rFonts w:eastAsia="MS PGothic" w:cs="Arial"/>
          <w:szCs w:val="18"/>
        </w:rPr>
        <w:t xml:space="preserve">benefit from Rel-18 TN UEs supporting </w:t>
      </w:r>
      <w:proofErr w:type="spellStart"/>
      <w:r>
        <w:rPr>
          <w:rFonts w:eastAsia="MS PGothic" w:cs="Arial"/>
          <w:szCs w:val="18"/>
        </w:rPr>
        <w:t>CondEvent</w:t>
      </w:r>
      <w:proofErr w:type="spellEnd"/>
      <w:r>
        <w:rPr>
          <w:rFonts w:eastAsia="MS PGothic" w:cs="Arial"/>
          <w:szCs w:val="18"/>
        </w:rPr>
        <w:t xml:space="preserve"> T1 is </w:t>
      </w:r>
      <w:r w:rsidR="00D15895">
        <w:rPr>
          <w:rFonts w:eastAsia="MS PGothic" w:cs="Arial"/>
          <w:szCs w:val="18"/>
        </w:rPr>
        <w:t xml:space="preserve">still </w:t>
      </w:r>
      <w:r>
        <w:rPr>
          <w:rFonts w:eastAsia="MS PGothic" w:cs="Arial"/>
          <w:szCs w:val="18"/>
        </w:rPr>
        <w:t xml:space="preserve">not </w:t>
      </w:r>
      <w:r w:rsidR="00D15895">
        <w:rPr>
          <w:rFonts w:eastAsia="MS PGothic" w:cs="Arial"/>
          <w:szCs w:val="18"/>
        </w:rPr>
        <w:t>very</w:t>
      </w:r>
      <w:r>
        <w:rPr>
          <w:rFonts w:eastAsia="MS PGothic" w:cs="Arial"/>
          <w:szCs w:val="18"/>
        </w:rPr>
        <w:t xml:space="preserve"> clear</w:t>
      </w:r>
      <w:r w:rsidR="00D15895">
        <w:rPr>
          <w:rFonts w:eastAsia="MS PGothic" w:cs="Arial"/>
          <w:szCs w:val="18"/>
        </w:rPr>
        <w:t>.</w:t>
      </w:r>
    </w:p>
    <w:p w14:paraId="7C6F5C60" w14:textId="67A2FAF5" w:rsidR="00B9479F" w:rsidRDefault="001006AB" w:rsidP="00B9479F">
      <w:r w:rsidRPr="001A4B1A">
        <w:rPr>
          <w:b/>
          <w:bCs/>
        </w:rPr>
        <w:lastRenderedPageBreak/>
        <w:t xml:space="preserve">Proposal </w:t>
      </w:r>
      <w:r w:rsidR="004B2596">
        <w:rPr>
          <w:b/>
          <w:bCs/>
        </w:rPr>
        <w:t>2</w:t>
      </w:r>
      <w:r w:rsidRPr="001A4B1A">
        <w:t>:</w:t>
      </w:r>
      <w:r>
        <w:t xml:space="preserve"> RAN2 </w:t>
      </w:r>
      <w:r w:rsidR="001A4B1A">
        <w:t xml:space="preserve">does not agree to support </w:t>
      </w:r>
      <w:proofErr w:type="spellStart"/>
      <w:r>
        <w:t>CondEvent</w:t>
      </w:r>
      <w:proofErr w:type="spellEnd"/>
      <w:r>
        <w:t xml:space="preserve"> T1 </w:t>
      </w:r>
      <w:r w:rsidR="001A4B1A">
        <w:t xml:space="preserve">for Rel-18 TN UEs until benefits are better </w:t>
      </w:r>
      <w:r w:rsidR="00811098">
        <w:t>understood</w:t>
      </w:r>
      <w:r w:rsidR="001A4B1A">
        <w:t>.</w:t>
      </w:r>
    </w:p>
    <w:p w14:paraId="69B7B8E6" w14:textId="345F1D02" w:rsidR="009339CB" w:rsidRPr="006E13D1" w:rsidRDefault="005A13AB" w:rsidP="009339CB">
      <w:pPr>
        <w:pStyle w:val="Heading1"/>
      </w:pPr>
      <w:r>
        <w:t>3</w:t>
      </w:r>
      <w:r w:rsidR="009339CB" w:rsidRPr="006E13D1">
        <w:tab/>
      </w:r>
      <w:r w:rsidR="009339CB">
        <w:t>Conclusion</w:t>
      </w:r>
    </w:p>
    <w:p w14:paraId="4CF1FBF9" w14:textId="77777777" w:rsidR="003D4B28" w:rsidRPr="006E13D1" w:rsidRDefault="003D4B28" w:rsidP="003D4B28">
      <w:r>
        <w:t>This document has made the following observations:</w:t>
      </w:r>
    </w:p>
    <w:p w14:paraId="05F9440B" w14:textId="77777777" w:rsidR="004B2596" w:rsidRDefault="004B2596" w:rsidP="004B2596">
      <w:r w:rsidRPr="0062444B">
        <w:rPr>
          <w:b/>
          <w:bCs/>
        </w:rPr>
        <w:t xml:space="preserve">Observation </w:t>
      </w:r>
      <w:r>
        <w:rPr>
          <w:b/>
          <w:bCs/>
        </w:rPr>
        <w:t>1</w:t>
      </w:r>
      <w:r w:rsidRPr="006B136F">
        <w:t>:</w:t>
      </w:r>
      <w:r>
        <w:t xml:space="preserve"> In general, the same beam configuration cannot be assumed at source and target logical DUs when the DUs use different physical cell resources. If RAN2 is to specify a RACH-less handover solution specific to </w:t>
      </w:r>
      <w:proofErr w:type="spellStart"/>
      <w:r>
        <w:t>mIAB</w:t>
      </w:r>
      <w:proofErr w:type="spellEnd"/>
      <w:r>
        <w:t>, the case where different beam configurations exist between source and target logical DUs will need to be considered.</w:t>
      </w:r>
    </w:p>
    <w:p w14:paraId="46B40B13" w14:textId="77777777" w:rsidR="004B2596" w:rsidRDefault="004B2596" w:rsidP="004B2596">
      <w:pPr>
        <w:rPr>
          <w:rFonts w:cstheme="minorHAnsi"/>
          <w:lang w:eastAsia="zh-CN"/>
        </w:rPr>
      </w:pPr>
      <w:r w:rsidRPr="0051293A">
        <w:rPr>
          <w:rFonts w:cstheme="minorHAnsi"/>
          <w:b/>
          <w:bCs/>
          <w:lang w:eastAsia="zh-CN"/>
        </w:rPr>
        <w:t>Observation 2</w:t>
      </w:r>
      <w:r>
        <w:rPr>
          <w:rFonts w:cstheme="minorHAnsi"/>
          <w:lang w:eastAsia="zh-CN"/>
        </w:rPr>
        <w:t xml:space="preserve">: Specifying a </w:t>
      </w:r>
      <w:proofErr w:type="spellStart"/>
      <w:r>
        <w:rPr>
          <w:rFonts w:cstheme="minorHAnsi"/>
          <w:lang w:eastAsia="zh-CN"/>
        </w:rPr>
        <w:t>mIAB</w:t>
      </w:r>
      <w:proofErr w:type="spellEnd"/>
      <w:r>
        <w:rPr>
          <w:rFonts w:cstheme="minorHAnsi"/>
          <w:lang w:eastAsia="zh-CN"/>
        </w:rPr>
        <w:t>-specific RACH-less HO solution will be quite complex, while the relative benefits gained are low.</w:t>
      </w:r>
    </w:p>
    <w:p w14:paraId="3BF6AE71" w14:textId="1B30BF51" w:rsidR="003D4B28" w:rsidRPr="00347961" w:rsidRDefault="00347961" w:rsidP="003D4B28">
      <w:pPr>
        <w:rPr>
          <w:rFonts w:cstheme="minorHAnsi"/>
          <w:b/>
          <w:bCs/>
          <w:lang w:eastAsia="zh-CN"/>
        </w:rPr>
      </w:pPr>
      <w:r w:rsidRPr="00724198">
        <w:rPr>
          <w:rFonts w:cstheme="minorHAnsi"/>
          <w:b/>
          <w:bCs/>
          <w:lang w:eastAsia="zh-CN"/>
        </w:rPr>
        <w:t>Observation 3</w:t>
      </w:r>
      <w:r w:rsidRPr="004B2596">
        <w:rPr>
          <w:rFonts w:cstheme="minorHAnsi"/>
          <w:lang w:eastAsia="zh-CN"/>
        </w:rPr>
        <w:t xml:space="preserve">: </w:t>
      </w:r>
      <w:r>
        <w:rPr>
          <w:rFonts w:cstheme="minorHAnsi"/>
          <w:lang w:eastAsia="zh-CN"/>
        </w:rPr>
        <w:t>RAN2 already agreed to support inter-CU RACH-less handover for Rel-18 NTN and is continuing to develop the solution.</w:t>
      </w:r>
    </w:p>
    <w:p w14:paraId="543888A1" w14:textId="77777777" w:rsidR="004B2596" w:rsidRPr="00D63409" w:rsidRDefault="004B2596" w:rsidP="004B2596">
      <w:r w:rsidRPr="00995348">
        <w:rPr>
          <w:b/>
          <w:bCs/>
        </w:rPr>
        <w:t xml:space="preserve">Observation </w:t>
      </w:r>
      <w:r>
        <w:rPr>
          <w:b/>
          <w:bCs/>
        </w:rPr>
        <w:t>4</w:t>
      </w:r>
      <w:r>
        <w:t xml:space="preserve">: Rel-18 TN UEs can likely support </w:t>
      </w:r>
      <w:proofErr w:type="spellStart"/>
      <w:r>
        <w:t>CondEvent</w:t>
      </w:r>
      <w:proofErr w:type="spellEnd"/>
      <w:r>
        <w:t xml:space="preserve"> T1 with small specification effort.</w:t>
      </w:r>
    </w:p>
    <w:p w14:paraId="047D821F" w14:textId="3338D53E" w:rsidR="004B2596" w:rsidRPr="004B2596" w:rsidRDefault="004B2596" w:rsidP="003D4B28">
      <w:pPr>
        <w:rPr>
          <w:rFonts w:eastAsia="MS PGothic" w:cs="Arial"/>
          <w:szCs w:val="18"/>
        </w:rPr>
      </w:pPr>
      <w:r w:rsidRPr="00D15895">
        <w:rPr>
          <w:rFonts w:eastAsia="MS PGothic" w:cs="Arial"/>
          <w:b/>
          <w:bCs/>
          <w:szCs w:val="18"/>
        </w:rPr>
        <w:t xml:space="preserve">Observation </w:t>
      </w:r>
      <w:r>
        <w:rPr>
          <w:rFonts w:eastAsia="MS PGothic" w:cs="Arial"/>
          <w:b/>
          <w:bCs/>
          <w:szCs w:val="18"/>
        </w:rPr>
        <w:t>5</w:t>
      </w:r>
      <w:r>
        <w:rPr>
          <w:rFonts w:eastAsia="MS PGothic" w:cs="Arial"/>
          <w:szCs w:val="18"/>
        </w:rPr>
        <w:t xml:space="preserve">: Given current agreements from RAN2 and RAN3, the overall motivation for and benefit from Rel-18 TN UEs supporting </w:t>
      </w:r>
      <w:proofErr w:type="spellStart"/>
      <w:r>
        <w:rPr>
          <w:rFonts w:eastAsia="MS PGothic" w:cs="Arial"/>
          <w:szCs w:val="18"/>
        </w:rPr>
        <w:t>CondEvent</w:t>
      </w:r>
      <w:proofErr w:type="spellEnd"/>
      <w:r>
        <w:rPr>
          <w:rFonts w:eastAsia="MS PGothic" w:cs="Arial"/>
          <w:szCs w:val="18"/>
        </w:rPr>
        <w:t xml:space="preserve"> T1 is still not very clear.</w:t>
      </w:r>
    </w:p>
    <w:p w14:paraId="67705001" w14:textId="77777777" w:rsidR="003D4B28" w:rsidRPr="004F4540" w:rsidRDefault="003D4B28" w:rsidP="003D4B28">
      <w:pPr>
        <w:rPr>
          <w:bCs/>
        </w:rPr>
      </w:pPr>
      <w:r>
        <w:rPr>
          <w:bCs/>
        </w:rPr>
        <w:t>And proposed the following:</w:t>
      </w:r>
    </w:p>
    <w:p w14:paraId="4ACEB170" w14:textId="62F1211C" w:rsidR="004B2596" w:rsidRDefault="00347961" w:rsidP="004B2596">
      <w:r w:rsidRPr="004B2596">
        <w:rPr>
          <w:rFonts w:cstheme="minorHAnsi"/>
          <w:b/>
          <w:bCs/>
          <w:lang w:eastAsia="zh-CN"/>
        </w:rPr>
        <w:t>Proposal</w:t>
      </w:r>
      <w:r w:rsidRPr="003D4B28">
        <w:rPr>
          <w:b/>
          <w:bCs/>
        </w:rPr>
        <w:t xml:space="preserve"> </w:t>
      </w:r>
      <w:r>
        <w:rPr>
          <w:b/>
          <w:bCs/>
        </w:rPr>
        <w:t>1</w:t>
      </w:r>
      <w:r>
        <w:t xml:space="preserve">: </w:t>
      </w:r>
      <w:r w:rsidR="00A935F2">
        <w:t xml:space="preserve">RAN2 does not pursue RACH-less handover enhancements specific to mobile IAB. Later, if it is confirmed applicable to Rel-18 IAB, NTN RACH-less could possibly be considered for </w:t>
      </w:r>
      <w:r w:rsidR="00A935F2">
        <w:t xml:space="preserve">mobile </w:t>
      </w:r>
      <w:r w:rsidR="00A935F2">
        <w:t>IAB</w:t>
      </w:r>
      <w:r>
        <w:t>.</w:t>
      </w:r>
    </w:p>
    <w:p w14:paraId="7FDC737D" w14:textId="5CA8A714" w:rsidR="00DB2B79" w:rsidRPr="00303D47" w:rsidRDefault="004B2596" w:rsidP="00DB2B79">
      <w:r w:rsidRPr="001A4B1A">
        <w:rPr>
          <w:b/>
          <w:bCs/>
        </w:rPr>
        <w:t xml:space="preserve">Proposal </w:t>
      </w:r>
      <w:r>
        <w:rPr>
          <w:b/>
          <w:bCs/>
        </w:rPr>
        <w:t>2</w:t>
      </w:r>
      <w:r w:rsidRPr="001A4B1A">
        <w:t>:</w:t>
      </w:r>
      <w:r>
        <w:t xml:space="preserve"> RAN2 does not agree to support </w:t>
      </w:r>
      <w:proofErr w:type="spellStart"/>
      <w:r>
        <w:t>CondEvent</w:t>
      </w:r>
      <w:proofErr w:type="spellEnd"/>
      <w:r>
        <w:t xml:space="preserve"> T1 for Rel-18 TN UEs until benefits are better understood.</w:t>
      </w:r>
    </w:p>
    <w:p w14:paraId="6B3E6A00" w14:textId="128F27D6" w:rsidR="00C31914" w:rsidRDefault="00C31914" w:rsidP="00C31914">
      <w:pPr>
        <w:pStyle w:val="Heading1"/>
        <w:tabs>
          <w:tab w:val="center" w:pos="990"/>
        </w:tabs>
      </w:pPr>
      <w:r>
        <w:t>4</w:t>
      </w:r>
      <w:r>
        <w:tab/>
      </w:r>
      <w:r>
        <w:tab/>
        <w:t>References</w:t>
      </w:r>
    </w:p>
    <w:p w14:paraId="4346CD77" w14:textId="28DA99E3" w:rsidR="00C31914" w:rsidRDefault="00C31914" w:rsidP="0051293A">
      <w:pPr>
        <w:pStyle w:val="EX"/>
        <w:ind w:left="1134" w:hanging="1134"/>
        <w:rPr>
          <w:lang w:eastAsia="zh-CN"/>
        </w:rPr>
      </w:pPr>
      <w:r w:rsidRPr="00B71987">
        <w:rPr>
          <w:lang w:eastAsia="zh-CN"/>
        </w:rPr>
        <w:t>[</w:t>
      </w:r>
      <w:r>
        <w:rPr>
          <w:lang w:eastAsia="zh-CN"/>
        </w:rPr>
        <w:t>1</w:t>
      </w:r>
      <w:r w:rsidRPr="00B71987">
        <w:rPr>
          <w:lang w:eastAsia="zh-CN"/>
        </w:rPr>
        <w:t>]</w:t>
      </w:r>
      <w:r w:rsidR="0051293A">
        <w:rPr>
          <w:lang w:eastAsia="zh-CN"/>
        </w:rPr>
        <w:tab/>
      </w:r>
      <w:hyperlink r:id="rId19" w:history="1">
        <w:r w:rsidRPr="00C31914">
          <w:rPr>
            <w:rStyle w:val="Hyperlink"/>
          </w:rPr>
          <w:t>R2-2302784</w:t>
        </w:r>
      </w:hyperlink>
      <w:r w:rsidRPr="00B71987">
        <w:rPr>
          <w:lang w:eastAsia="zh-CN"/>
        </w:rPr>
        <w:t xml:space="preserve">: </w:t>
      </w:r>
      <w:r>
        <w:rPr>
          <w:lang w:eastAsia="zh-CN"/>
        </w:rPr>
        <w:t>“</w:t>
      </w:r>
      <w:r>
        <w:t>Mobile IAB mobility enhancement for connected UEs”</w:t>
      </w:r>
      <w:r>
        <w:rPr>
          <w:lang w:eastAsia="zh-CN"/>
        </w:rPr>
        <w:t>, Intel Corporation</w:t>
      </w:r>
    </w:p>
    <w:p w14:paraId="24EC566E" w14:textId="129D63C1" w:rsidR="00C31914" w:rsidRDefault="00C31914" w:rsidP="0051293A">
      <w:pPr>
        <w:pStyle w:val="EX"/>
        <w:ind w:left="1134" w:hanging="1134"/>
        <w:rPr>
          <w:lang w:eastAsia="zh-CN"/>
        </w:rPr>
      </w:pPr>
      <w:r>
        <w:rPr>
          <w:lang w:eastAsia="zh-CN"/>
        </w:rPr>
        <w:t>[2]</w:t>
      </w:r>
      <w:r>
        <w:rPr>
          <w:lang w:eastAsia="zh-CN"/>
        </w:rPr>
        <w:tab/>
      </w:r>
      <w:hyperlink r:id="rId20" w:history="1">
        <w:r w:rsidRPr="00C31914">
          <w:rPr>
            <w:rStyle w:val="Hyperlink"/>
          </w:rPr>
          <w:t>R2-2302929</w:t>
        </w:r>
      </w:hyperlink>
      <w:r>
        <w:t>, “Mobile IAB connected mode issues and enhancements”, Nokia, Nokia Shanghai Bell</w:t>
      </w:r>
    </w:p>
    <w:p w14:paraId="43B6F8CD" w14:textId="70550392" w:rsidR="00C31914" w:rsidRDefault="00C31914" w:rsidP="0051293A">
      <w:pPr>
        <w:pStyle w:val="EX"/>
        <w:ind w:left="1134" w:hanging="1134"/>
        <w:rPr>
          <w:lang w:eastAsia="zh-CN"/>
        </w:rPr>
      </w:pPr>
      <w:r>
        <w:rPr>
          <w:lang w:eastAsia="zh-CN"/>
        </w:rPr>
        <w:t>[3]</w:t>
      </w:r>
      <w:r>
        <w:rPr>
          <w:lang w:eastAsia="zh-CN"/>
        </w:rPr>
        <w:tab/>
      </w:r>
      <w:hyperlink r:id="rId21" w:history="1">
        <w:r w:rsidRPr="0051293A">
          <w:rPr>
            <w:rStyle w:val="Hyperlink"/>
          </w:rPr>
          <w:t>R2-2303852</w:t>
        </w:r>
      </w:hyperlink>
      <w:r>
        <w:t xml:space="preserve">, “On the need for connected mode mobility enhancements for </w:t>
      </w:r>
      <w:proofErr w:type="spellStart"/>
      <w:r>
        <w:t>mIAB</w:t>
      </w:r>
      <w:proofErr w:type="spellEnd"/>
      <w:r>
        <w:t>”</w:t>
      </w:r>
      <w:r w:rsidR="0051293A">
        <w:t xml:space="preserve">, </w:t>
      </w:r>
      <w:r>
        <w:t>LG Electronics Inc.</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BA4AC" w14:textId="77777777" w:rsidR="0059375C" w:rsidRDefault="0059375C">
      <w:r>
        <w:separator/>
      </w:r>
    </w:p>
  </w:endnote>
  <w:endnote w:type="continuationSeparator" w:id="0">
    <w:p w14:paraId="73975383" w14:textId="77777777" w:rsidR="0059375C" w:rsidRDefault="0059375C">
      <w:r>
        <w:continuationSeparator/>
      </w:r>
    </w:p>
  </w:endnote>
  <w:endnote w:type="continuationNotice" w:id="1">
    <w:p w14:paraId="362DD80B" w14:textId="77777777" w:rsidR="0059375C" w:rsidRDefault="00593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AD4E2" w14:textId="77777777" w:rsidR="0059375C" w:rsidRDefault="0059375C">
      <w:r>
        <w:separator/>
      </w:r>
    </w:p>
  </w:footnote>
  <w:footnote w:type="continuationSeparator" w:id="0">
    <w:p w14:paraId="0C8AD4CD" w14:textId="77777777" w:rsidR="0059375C" w:rsidRDefault="0059375C">
      <w:r>
        <w:continuationSeparator/>
      </w:r>
    </w:p>
  </w:footnote>
  <w:footnote w:type="continuationNotice" w:id="1">
    <w:p w14:paraId="7134F9BD" w14:textId="77777777" w:rsidR="0059375C" w:rsidRDefault="00593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D059A"/>
    <w:multiLevelType w:val="hybridMultilevel"/>
    <w:tmpl w:val="B8B0C71A"/>
    <w:lvl w:ilvl="0" w:tplc="DC2E7A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5095C"/>
    <w:multiLevelType w:val="hybridMultilevel"/>
    <w:tmpl w:val="4A704008"/>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1B072C"/>
    <w:multiLevelType w:val="hybridMultilevel"/>
    <w:tmpl w:val="5D38C818"/>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E4D4D6D"/>
    <w:multiLevelType w:val="multilevel"/>
    <w:tmpl w:val="16AC27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106"/>
        </w:tabs>
        <w:ind w:left="1106"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start w:val="1"/>
      <w:numFmt w:val="bullet"/>
      <w:lvlText w:val=""/>
      <w:lvlJc w:val="left"/>
      <w:pPr>
        <w:tabs>
          <w:tab w:val="num" w:pos="4074"/>
        </w:tabs>
        <w:ind w:left="4074" w:hanging="360"/>
      </w:pPr>
      <w:rPr>
        <w:rFonts w:ascii="Wingdings" w:hAnsi="Wingdings" w:hint="default"/>
      </w:rPr>
    </w:lvl>
    <w:lvl w:ilvl="6" w:tplc="04090001">
      <w:start w:val="1"/>
      <w:numFmt w:val="bullet"/>
      <w:lvlText w:val=""/>
      <w:lvlJc w:val="left"/>
      <w:pPr>
        <w:tabs>
          <w:tab w:val="num" w:pos="4794"/>
        </w:tabs>
        <w:ind w:left="4794" w:hanging="360"/>
      </w:pPr>
      <w:rPr>
        <w:rFonts w:ascii="Symbol" w:hAnsi="Symbol" w:hint="default"/>
      </w:rPr>
    </w:lvl>
    <w:lvl w:ilvl="7" w:tplc="04090003">
      <w:start w:val="1"/>
      <w:numFmt w:val="bullet"/>
      <w:lvlText w:val="o"/>
      <w:lvlJc w:val="left"/>
      <w:pPr>
        <w:tabs>
          <w:tab w:val="num" w:pos="5514"/>
        </w:tabs>
        <w:ind w:left="5514" w:hanging="360"/>
      </w:pPr>
      <w:rPr>
        <w:rFonts w:ascii="Courier New" w:hAnsi="Courier New" w:cs="Courier New" w:hint="default"/>
      </w:rPr>
    </w:lvl>
    <w:lvl w:ilvl="8" w:tplc="04090005">
      <w:start w:val="1"/>
      <w:numFmt w:val="bullet"/>
      <w:lvlText w:val=""/>
      <w:lvlJc w:val="left"/>
      <w:pPr>
        <w:tabs>
          <w:tab w:val="num" w:pos="6234"/>
        </w:tabs>
        <w:ind w:left="6234"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68041887">
    <w:abstractNumId w:val="9"/>
  </w:num>
  <w:num w:numId="9" w16cid:durableId="2052685577">
    <w:abstractNumId w:val="10"/>
  </w:num>
  <w:num w:numId="10" w16cid:durableId="1273706882">
    <w:abstractNumId w:val="2"/>
  </w:num>
  <w:num w:numId="11" w16cid:durableId="20911507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2801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5579"/>
    <w:rsid w:val="00016557"/>
    <w:rsid w:val="00023C40"/>
    <w:rsid w:val="000315CB"/>
    <w:rsid w:val="00033397"/>
    <w:rsid w:val="00040095"/>
    <w:rsid w:val="000455FD"/>
    <w:rsid w:val="00065268"/>
    <w:rsid w:val="00073C9C"/>
    <w:rsid w:val="00076412"/>
    <w:rsid w:val="00080512"/>
    <w:rsid w:val="000879E5"/>
    <w:rsid w:val="00090468"/>
    <w:rsid w:val="00094568"/>
    <w:rsid w:val="000B7BCF"/>
    <w:rsid w:val="000C522B"/>
    <w:rsid w:val="000D58AB"/>
    <w:rsid w:val="001006AB"/>
    <w:rsid w:val="00112F1A"/>
    <w:rsid w:val="00145075"/>
    <w:rsid w:val="0017261C"/>
    <w:rsid w:val="001741A0"/>
    <w:rsid w:val="00175FA0"/>
    <w:rsid w:val="00194CD0"/>
    <w:rsid w:val="001A4B1A"/>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D05FC"/>
    <w:rsid w:val="002F0D22"/>
    <w:rsid w:val="00311B17"/>
    <w:rsid w:val="003172DC"/>
    <w:rsid w:val="00325AE3"/>
    <w:rsid w:val="00325E76"/>
    <w:rsid w:val="00326069"/>
    <w:rsid w:val="00347961"/>
    <w:rsid w:val="0035462D"/>
    <w:rsid w:val="0036459E"/>
    <w:rsid w:val="00364B41"/>
    <w:rsid w:val="00383096"/>
    <w:rsid w:val="0039346C"/>
    <w:rsid w:val="003A41EF"/>
    <w:rsid w:val="003B40AD"/>
    <w:rsid w:val="003C4E37"/>
    <w:rsid w:val="003D0FD0"/>
    <w:rsid w:val="003D4B28"/>
    <w:rsid w:val="003E16BE"/>
    <w:rsid w:val="003F4E28"/>
    <w:rsid w:val="004006E8"/>
    <w:rsid w:val="00401855"/>
    <w:rsid w:val="00446C3A"/>
    <w:rsid w:val="00465587"/>
    <w:rsid w:val="00477455"/>
    <w:rsid w:val="00477F2A"/>
    <w:rsid w:val="004A1F7B"/>
    <w:rsid w:val="004B2596"/>
    <w:rsid w:val="004C44D2"/>
    <w:rsid w:val="004D3578"/>
    <w:rsid w:val="004D380D"/>
    <w:rsid w:val="004E213A"/>
    <w:rsid w:val="004F4540"/>
    <w:rsid w:val="004F54BE"/>
    <w:rsid w:val="004F73A7"/>
    <w:rsid w:val="00503171"/>
    <w:rsid w:val="00506C28"/>
    <w:rsid w:val="0051293A"/>
    <w:rsid w:val="00534DA0"/>
    <w:rsid w:val="00543E6C"/>
    <w:rsid w:val="00564F65"/>
    <w:rsid w:val="00565087"/>
    <w:rsid w:val="0056573F"/>
    <w:rsid w:val="00571279"/>
    <w:rsid w:val="0059375C"/>
    <w:rsid w:val="005A13AB"/>
    <w:rsid w:val="005A49C6"/>
    <w:rsid w:val="005C766E"/>
    <w:rsid w:val="005C7CD5"/>
    <w:rsid w:val="005D6847"/>
    <w:rsid w:val="00611566"/>
    <w:rsid w:val="0062444B"/>
    <w:rsid w:val="006316A3"/>
    <w:rsid w:val="006350C7"/>
    <w:rsid w:val="00635D94"/>
    <w:rsid w:val="00646D99"/>
    <w:rsid w:val="00656910"/>
    <w:rsid w:val="006574C0"/>
    <w:rsid w:val="00696821"/>
    <w:rsid w:val="006B136F"/>
    <w:rsid w:val="006C66D8"/>
    <w:rsid w:val="006D1E24"/>
    <w:rsid w:val="006D35DE"/>
    <w:rsid w:val="006E1057"/>
    <w:rsid w:val="006E1417"/>
    <w:rsid w:val="006F5CDD"/>
    <w:rsid w:val="006F6A2C"/>
    <w:rsid w:val="007038C4"/>
    <w:rsid w:val="007069DC"/>
    <w:rsid w:val="00710201"/>
    <w:rsid w:val="0072073A"/>
    <w:rsid w:val="00724198"/>
    <w:rsid w:val="007342B5"/>
    <w:rsid w:val="00734A5B"/>
    <w:rsid w:val="00744E76"/>
    <w:rsid w:val="00757D40"/>
    <w:rsid w:val="007662B5"/>
    <w:rsid w:val="00781F0F"/>
    <w:rsid w:val="0078727C"/>
    <w:rsid w:val="00787664"/>
    <w:rsid w:val="00787A02"/>
    <w:rsid w:val="0079049D"/>
    <w:rsid w:val="00793017"/>
    <w:rsid w:val="00793DC5"/>
    <w:rsid w:val="00796823"/>
    <w:rsid w:val="007A2E55"/>
    <w:rsid w:val="007B18D8"/>
    <w:rsid w:val="007C095F"/>
    <w:rsid w:val="007C2DD0"/>
    <w:rsid w:val="007D2A5A"/>
    <w:rsid w:val="007F2E08"/>
    <w:rsid w:val="008024FA"/>
    <w:rsid w:val="008028A4"/>
    <w:rsid w:val="00811098"/>
    <w:rsid w:val="00813245"/>
    <w:rsid w:val="00840DE0"/>
    <w:rsid w:val="00847CD0"/>
    <w:rsid w:val="008607A8"/>
    <w:rsid w:val="0086354A"/>
    <w:rsid w:val="008768CA"/>
    <w:rsid w:val="00877EF9"/>
    <w:rsid w:val="00880559"/>
    <w:rsid w:val="008B5306"/>
    <w:rsid w:val="008B54E8"/>
    <w:rsid w:val="008C2E2A"/>
    <w:rsid w:val="008C3057"/>
    <w:rsid w:val="008C38CB"/>
    <w:rsid w:val="008C6CC6"/>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818A2"/>
    <w:rsid w:val="009928A9"/>
    <w:rsid w:val="00995348"/>
    <w:rsid w:val="009A0AF3"/>
    <w:rsid w:val="009B07CD"/>
    <w:rsid w:val="009C19E9"/>
    <w:rsid w:val="009D74A6"/>
    <w:rsid w:val="009E0E87"/>
    <w:rsid w:val="00A10F02"/>
    <w:rsid w:val="00A17176"/>
    <w:rsid w:val="00A204CA"/>
    <w:rsid w:val="00A209D6"/>
    <w:rsid w:val="00A22738"/>
    <w:rsid w:val="00A360ED"/>
    <w:rsid w:val="00A36F5F"/>
    <w:rsid w:val="00A430EC"/>
    <w:rsid w:val="00A51DDD"/>
    <w:rsid w:val="00A53724"/>
    <w:rsid w:val="00A54B2B"/>
    <w:rsid w:val="00A703B6"/>
    <w:rsid w:val="00A73938"/>
    <w:rsid w:val="00A82346"/>
    <w:rsid w:val="00A935F2"/>
    <w:rsid w:val="00A9671C"/>
    <w:rsid w:val="00AA1553"/>
    <w:rsid w:val="00AE583E"/>
    <w:rsid w:val="00AF4DF1"/>
    <w:rsid w:val="00B05380"/>
    <w:rsid w:val="00B05962"/>
    <w:rsid w:val="00B15449"/>
    <w:rsid w:val="00B16C2F"/>
    <w:rsid w:val="00B27303"/>
    <w:rsid w:val="00B47FD1"/>
    <w:rsid w:val="00B516BB"/>
    <w:rsid w:val="00B7538C"/>
    <w:rsid w:val="00B84DB2"/>
    <w:rsid w:val="00B94528"/>
    <w:rsid w:val="00B9479F"/>
    <w:rsid w:val="00BC3555"/>
    <w:rsid w:val="00C12B51"/>
    <w:rsid w:val="00C24650"/>
    <w:rsid w:val="00C25465"/>
    <w:rsid w:val="00C31914"/>
    <w:rsid w:val="00C33079"/>
    <w:rsid w:val="00C34E45"/>
    <w:rsid w:val="00C45C0C"/>
    <w:rsid w:val="00C461DF"/>
    <w:rsid w:val="00C55A12"/>
    <w:rsid w:val="00C6553E"/>
    <w:rsid w:val="00C83A13"/>
    <w:rsid w:val="00C84134"/>
    <w:rsid w:val="00C86F10"/>
    <w:rsid w:val="00C9068C"/>
    <w:rsid w:val="00C92967"/>
    <w:rsid w:val="00CA3D0C"/>
    <w:rsid w:val="00CA654B"/>
    <w:rsid w:val="00CB72B8"/>
    <w:rsid w:val="00CC7F95"/>
    <w:rsid w:val="00CD0BA8"/>
    <w:rsid w:val="00CD4C7B"/>
    <w:rsid w:val="00CD58FE"/>
    <w:rsid w:val="00CE57C5"/>
    <w:rsid w:val="00D035FD"/>
    <w:rsid w:val="00D15895"/>
    <w:rsid w:val="00D33BE3"/>
    <w:rsid w:val="00D3792D"/>
    <w:rsid w:val="00D52889"/>
    <w:rsid w:val="00D54820"/>
    <w:rsid w:val="00D55E47"/>
    <w:rsid w:val="00D62E19"/>
    <w:rsid w:val="00D6300C"/>
    <w:rsid w:val="00D63409"/>
    <w:rsid w:val="00D67CD1"/>
    <w:rsid w:val="00D738D6"/>
    <w:rsid w:val="00D80795"/>
    <w:rsid w:val="00D854BE"/>
    <w:rsid w:val="00D87E00"/>
    <w:rsid w:val="00D9134D"/>
    <w:rsid w:val="00D96D11"/>
    <w:rsid w:val="00DA7A03"/>
    <w:rsid w:val="00DB0DB8"/>
    <w:rsid w:val="00DB1818"/>
    <w:rsid w:val="00DB2B79"/>
    <w:rsid w:val="00DC309B"/>
    <w:rsid w:val="00DC4DA2"/>
    <w:rsid w:val="00DC5261"/>
    <w:rsid w:val="00DE25D2"/>
    <w:rsid w:val="00DF7C20"/>
    <w:rsid w:val="00E038FB"/>
    <w:rsid w:val="00E20287"/>
    <w:rsid w:val="00E46C08"/>
    <w:rsid w:val="00E471CF"/>
    <w:rsid w:val="00E62835"/>
    <w:rsid w:val="00E6480E"/>
    <w:rsid w:val="00E77645"/>
    <w:rsid w:val="00E83697"/>
    <w:rsid w:val="00E859B6"/>
    <w:rsid w:val="00EA5A1C"/>
    <w:rsid w:val="00EA66C9"/>
    <w:rsid w:val="00EB5D32"/>
    <w:rsid w:val="00EC4A25"/>
    <w:rsid w:val="00EF612C"/>
    <w:rsid w:val="00F025A2"/>
    <w:rsid w:val="00F02E96"/>
    <w:rsid w:val="00F036E9"/>
    <w:rsid w:val="00F07388"/>
    <w:rsid w:val="00F2026E"/>
    <w:rsid w:val="00F2210A"/>
    <w:rsid w:val="00F31372"/>
    <w:rsid w:val="00F37743"/>
    <w:rsid w:val="00F5488F"/>
    <w:rsid w:val="00F54A3D"/>
    <w:rsid w:val="00F54CB0"/>
    <w:rsid w:val="00F579CD"/>
    <w:rsid w:val="00F653B8"/>
    <w:rsid w:val="00F71B89"/>
    <w:rsid w:val="00F7353C"/>
    <w:rsid w:val="00F76F8F"/>
    <w:rsid w:val="00F87257"/>
    <w:rsid w:val="00F941DF"/>
    <w:rsid w:val="00FA1266"/>
    <w:rsid w:val="00FB36FA"/>
    <w:rsid w:val="00FC1192"/>
    <w:rsid w:val="00FE106D"/>
    <w:rsid w:val="00FE251B"/>
    <w:rsid w:val="052207E3"/>
    <w:rsid w:val="06762F4A"/>
    <w:rsid w:val="0B49A06D"/>
    <w:rsid w:val="0F750422"/>
    <w:rsid w:val="1413BAE7"/>
    <w:rsid w:val="157692C2"/>
    <w:rsid w:val="1E862A22"/>
    <w:rsid w:val="1F68FEE6"/>
    <w:rsid w:val="23195FAD"/>
    <w:rsid w:val="28FBC3EF"/>
    <w:rsid w:val="2AF89021"/>
    <w:rsid w:val="2CF22AC5"/>
    <w:rsid w:val="2E8B531D"/>
    <w:rsid w:val="2EEC614B"/>
    <w:rsid w:val="312BE140"/>
    <w:rsid w:val="31945DCE"/>
    <w:rsid w:val="32C7B1A1"/>
    <w:rsid w:val="3707F966"/>
    <w:rsid w:val="3AD2C386"/>
    <w:rsid w:val="3C6E93E7"/>
    <w:rsid w:val="3D4A7FBC"/>
    <w:rsid w:val="3EAD75A1"/>
    <w:rsid w:val="4D39FAA9"/>
    <w:rsid w:val="5096F309"/>
    <w:rsid w:val="52199B0D"/>
    <w:rsid w:val="55F24BFC"/>
    <w:rsid w:val="5B57AE7A"/>
    <w:rsid w:val="5F0C5A06"/>
    <w:rsid w:val="5F3BAC77"/>
    <w:rsid w:val="60EFC3F5"/>
    <w:rsid w:val="67F6F2ED"/>
    <w:rsid w:val="6E1D9FD3"/>
    <w:rsid w:val="757E9B16"/>
    <w:rsid w:val="7EBB7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link w:val="Doc-text2"/>
    <w:qFormat/>
    <w:locked/>
    <w:rsid w:val="003D4B28"/>
    <w:rPr>
      <w:rFonts w:ascii="Arial" w:eastAsia="MS Mincho" w:hAnsi="Arial" w:cs="Arial"/>
      <w:szCs w:val="24"/>
    </w:rPr>
  </w:style>
  <w:style w:type="paragraph" w:customStyle="1" w:styleId="Doc-text2">
    <w:name w:val="Doc-text2"/>
    <w:basedOn w:val="Normal"/>
    <w:link w:val="Doc-text2Char"/>
    <w:qFormat/>
    <w:rsid w:val="003D4B2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Normal"/>
    <w:uiPriority w:val="99"/>
    <w:qFormat/>
    <w:rsid w:val="003D4B28"/>
    <w:pPr>
      <w:numPr>
        <w:numId w:val="9"/>
      </w:numPr>
      <w:tabs>
        <w:tab w:val="num" w:pos="1619"/>
      </w:tabs>
      <w:spacing w:before="60" w:after="0"/>
      <w:ind w:left="1619"/>
    </w:pPr>
    <w:rPr>
      <w:rFonts w:ascii="Arial" w:eastAsia="MS Mincho" w:hAnsi="Arial"/>
      <w:b/>
      <w:szCs w:val="24"/>
      <w:lang w:eastAsia="en-GB"/>
    </w:rPr>
  </w:style>
  <w:style w:type="character" w:styleId="FollowedHyperlink">
    <w:name w:val="FollowedHyperlink"/>
    <w:basedOn w:val="DefaultParagraphFont"/>
    <w:rsid w:val="00B94528"/>
    <w:rPr>
      <w:color w:val="954F72" w:themeColor="followedHyperlink"/>
      <w:u w:val="single"/>
    </w:rPr>
  </w:style>
  <w:style w:type="character" w:customStyle="1" w:styleId="TALCar">
    <w:name w:val="TAL Car"/>
    <w:link w:val="TAL"/>
    <w:qFormat/>
    <w:rsid w:val="008C6CC6"/>
    <w:rPr>
      <w:rFonts w:ascii="Arial" w:hAnsi="Arial"/>
      <w:sz w:val="18"/>
      <w:lang w:eastAsia="en-US"/>
    </w:rPr>
  </w:style>
  <w:style w:type="paragraph" w:styleId="ListParagraph">
    <w:name w:val="List Paragraph"/>
    <w:basedOn w:val="Normal"/>
    <w:uiPriority w:val="34"/>
    <w:qFormat/>
    <w:rsid w:val="00CE57C5"/>
    <w:pPr>
      <w:ind w:left="720"/>
      <w:contextualSpacing/>
    </w:pPr>
  </w:style>
  <w:style w:type="character" w:customStyle="1" w:styleId="EXChar">
    <w:name w:val="EX Char"/>
    <w:link w:val="EX"/>
    <w:qFormat/>
    <w:locked/>
    <w:rsid w:val="00C31914"/>
    <w:rPr>
      <w:lang w:eastAsia="en-US"/>
    </w:rPr>
  </w:style>
  <w:style w:type="character" w:customStyle="1" w:styleId="CommentsChar">
    <w:name w:val="Comments Char"/>
    <w:link w:val="Comments"/>
    <w:qFormat/>
    <w:locked/>
    <w:rsid w:val="004F54BE"/>
    <w:rPr>
      <w:rFonts w:ascii="Arial" w:hAnsi="Arial" w:cs="Arial"/>
      <w:i/>
      <w:noProof/>
      <w:sz w:val="18"/>
      <w:lang w:eastAsia="ja-JP"/>
    </w:rPr>
  </w:style>
  <w:style w:type="paragraph" w:customStyle="1" w:styleId="Comments">
    <w:name w:val="Comments"/>
    <w:basedOn w:val="Normal"/>
    <w:link w:val="CommentsChar"/>
    <w:qFormat/>
    <w:rsid w:val="004F54BE"/>
    <w:pPr>
      <w:overflowPunct w:val="0"/>
      <w:autoSpaceDE w:val="0"/>
      <w:autoSpaceDN w:val="0"/>
      <w:adjustRightInd w:val="0"/>
      <w:spacing w:before="40" w:after="0"/>
    </w:pPr>
    <w:rPr>
      <w:rFonts w:ascii="Arial" w:hAnsi="Arial" w:cs="Arial"/>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264237">
      <w:bodyDiv w:val="1"/>
      <w:marLeft w:val="0"/>
      <w:marRight w:val="0"/>
      <w:marTop w:val="0"/>
      <w:marBottom w:val="0"/>
      <w:divBdr>
        <w:top w:val="none" w:sz="0" w:space="0" w:color="auto"/>
        <w:left w:val="none" w:sz="0" w:space="0" w:color="auto"/>
        <w:bottom w:val="none" w:sz="0" w:space="0" w:color="auto"/>
        <w:right w:val="none" w:sz="0" w:space="0" w:color="auto"/>
      </w:divBdr>
    </w:div>
    <w:div w:id="406922830">
      <w:bodyDiv w:val="1"/>
      <w:marLeft w:val="0"/>
      <w:marRight w:val="0"/>
      <w:marTop w:val="0"/>
      <w:marBottom w:val="0"/>
      <w:divBdr>
        <w:top w:val="none" w:sz="0" w:space="0" w:color="auto"/>
        <w:left w:val="none" w:sz="0" w:space="0" w:color="auto"/>
        <w:bottom w:val="none" w:sz="0" w:space="0" w:color="auto"/>
        <w:right w:val="none" w:sz="0" w:space="0" w:color="auto"/>
      </w:divBdr>
    </w:div>
    <w:div w:id="6869055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50569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147788">
      <w:bodyDiv w:val="1"/>
      <w:marLeft w:val="0"/>
      <w:marRight w:val="0"/>
      <w:marTop w:val="0"/>
      <w:marBottom w:val="0"/>
      <w:divBdr>
        <w:top w:val="none" w:sz="0" w:space="0" w:color="auto"/>
        <w:left w:val="none" w:sz="0" w:space="0" w:color="auto"/>
        <w:bottom w:val="none" w:sz="0" w:space="0" w:color="auto"/>
        <w:right w:val="none" w:sz="0" w:space="0" w:color="auto"/>
      </w:divBdr>
    </w:div>
    <w:div w:id="1365405977">
      <w:bodyDiv w:val="1"/>
      <w:marLeft w:val="0"/>
      <w:marRight w:val="0"/>
      <w:marTop w:val="0"/>
      <w:marBottom w:val="0"/>
      <w:divBdr>
        <w:top w:val="none" w:sz="0" w:space="0" w:color="auto"/>
        <w:left w:val="none" w:sz="0" w:space="0" w:color="auto"/>
        <w:bottom w:val="none" w:sz="0" w:space="0" w:color="auto"/>
        <w:right w:val="none" w:sz="0" w:space="0" w:color="auto"/>
      </w:divBdr>
    </w:div>
    <w:div w:id="188910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0/Docs/R2-2211101.zip" TargetMode="External"/><Relationship Id="rId18" Type="http://schemas.openxmlformats.org/officeDocument/2006/relationships/hyperlink" Target="https://www.3gpp.org/ftp/tsg_ran/WG3_Iu/TSGR3_118/Docs/R3-226101.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ran/WG2_RL2/TSGR2_121bis-e/Docs/R2-230385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3_Iu/TSGR3_119bis-e/Docs/R3-231101.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2_RL2/TSGR2_120/Docs/R2-2211101.zip" TargetMode="External"/><Relationship Id="rId20" Type="http://schemas.openxmlformats.org/officeDocument/2006/relationships/hyperlink" Target="https://www.3gpp.org/ftp/tsg_ran/WG2_RL2/TSGR2_121bis-e/Docs/R2-230292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2_RL2/TSGR2_121bis-e/Docs/R2-2304271.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2_RL2/TSGR2_121bis-e/Docs/R2-230278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2/Docs/R2-2304601.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5AIRPNAIUNRU-859666464-14278</_dlc_DocId>
    <_dlc_DocIdUrl xmlns="71c5aaf6-e6ce-465b-b873-5148d2a4c105">
      <Url>https://nokia.sharepoint.com/sites/c5g/e2earch/_layouts/15/DocIdRedir.aspx?ID=5AIRPNAIUNRU-859666464-14278</Url>
      <Description>5AIRPNAIUNRU-859666464-14278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9A02A1A-D18D-4175-A77E-FCF83F1AE751}">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purl.org/dc/terms/"/>
    <ds:schemaRef ds:uri="71c5aaf6-e6ce-465b-b873-5148d2a4c105"/>
    <ds:schemaRef ds:uri="a3840f4f-04be-43d1-b2ef-6ff1382503c7"/>
    <ds:schemaRef ds:uri="http://schemas.microsoft.com/office/2006/documentManagement/types"/>
    <ds:schemaRef ds:uri="http://purl.org/dc/elements/1.1/"/>
    <ds:schemaRef ds:uri="http://purl.org/dc/dcmitype/"/>
    <ds:schemaRef ds:uri="83f22d2f-d16e-4be6-ad4f-29fa0b067c3c"/>
    <ds:schemaRef ds:uri="http://schemas.microsoft.com/office/infopath/2007/PartnerControls"/>
    <ds:schemaRef ds:uri="http://schemas.microsoft.com/office/2006/metadata/properties"/>
    <ds:schemaRef ds:uri="http://schemas.openxmlformats.org/package/2006/metadata/core-properties"/>
    <ds:schemaRef ds:uri="3b34c8f0-1ef5-4d1e-bb66-517ce7fe7356"/>
    <ds:schemaRef ds:uri="http://www.w3.org/XML/1998/namespac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1898</Words>
  <Characters>10960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9</cp:revision>
  <dcterms:created xsi:type="dcterms:W3CDTF">2023-05-09T22:30:00Z</dcterms:created>
  <dcterms:modified xsi:type="dcterms:W3CDTF">2023-05-11T17:08:00Z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abb90cb7-0b19-4981-b1a8-79a76639a98a</vt:lpwstr>
  </property>
</Properties>
</file>